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0" w:lineRule="auto" w:line="276"/>
        <w:ind w:firstLine="7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3 -mavzu. Ijtimoiy ishning xorijiy modellari</w:t>
      </w:r>
    </w:p>
    <w:p>
      <w:pPr>
        <w:pStyle w:val="style0"/>
        <w:widowControl w:val="false"/>
        <w:spacing w:after="0" w:lineRule="auto" w:line="276"/>
        <w:ind w:firstLine="7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1. Ijtimoiy ishning sotsial-demokratik modelining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2.  Bismark modelining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3.</w:t>
      </w:r>
      <w:r>
        <w:rPr>
          <w:rFonts w:ascii="Times New Roman" w:cs="Times New Roman" w:eastAsia="Times New Roman" w:hAnsi="Times New Roman"/>
          <w:bCs/>
          <w:color w:val="000000"/>
          <w:sz w:val="32"/>
          <w:szCs w:val="32"/>
          <w:lang w:val="en-US" w:eastAsia="ru-RU"/>
        </w:rPr>
        <w:tab/>
      </w:r>
      <w:r>
        <w:rPr>
          <w:rFonts w:ascii="Times New Roman" w:cs="Times New Roman" w:eastAsia="Times New Roman" w:hAnsi="Times New Roman"/>
          <w:bCs/>
          <w:color w:val="000000"/>
          <w:sz w:val="32"/>
          <w:szCs w:val="32"/>
          <w:lang w:val="en-US" w:eastAsia="ru-RU"/>
        </w:rPr>
        <w:t xml:space="preserve">Beverij modelining mohiyati va mazmuni. </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4.</w:t>
      </w:r>
      <w:r>
        <w:rPr>
          <w:rFonts w:ascii="Times New Roman" w:cs="Times New Roman" w:eastAsia="Times New Roman" w:hAnsi="Times New Roman"/>
          <w:bCs/>
          <w:color w:val="000000"/>
          <w:sz w:val="32"/>
          <w:szCs w:val="32"/>
          <w:lang w:val="en-US" w:eastAsia="ru-RU"/>
        </w:rPr>
        <w:tab/>
      </w:r>
      <w:r>
        <w:rPr>
          <w:rFonts w:ascii="Times New Roman" w:cs="Times New Roman" w:eastAsia="Times New Roman" w:hAnsi="Times New Roman"/>
          <w:bCs/>
          <w:color w:val="000000"/>
          <w:sz w:val="32"/>
          <w:szCs w:val="32"/>
          <w:lang w:val="en-US" w:eastAsia="ru-RU"/>
        </w:rPr>
        <w:t>Liberal modelning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5.   Neokonservativ modelning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 xml:space="preserve">          Sotsial-demokratik model. </w:t>
      </w:r>
      <w:r>
        <w:rPr>
          <w:rFonts w:ascii="Times New Roman" w:cs="Times New Roman" w:eastAsia="Times New Roman" w:hAnsi="Times New Roman"/>
          <w:color w:val="000000"/>
          <w:sz w:val="32"/>
          <w:szCs w:val="32"/>
          <w:lang w:val="en-US" w:eastAsia="ru-RU"/>
        </w:rPr>
        <w:t xml:space="preserve">Ushbu modelning asosiy printsipi "universalizm" dir. </w:t>
      </w:r>
      <w:r>
        <w:rPr>
          <w:rFonts w:ascii="Times New Roman" w:cs="Times New Roman" w:eastAsia="Times New Roman" w:hAnsi="Times New Roman"/>
          <w:color w:val="000000"/>
          <w:sz w:val="32"/>
          <w:szCs w:val="32"/>
          <w:lang w:val="en-US" w:bidi="ru-RU" w:eastAsia="ru-RU"/>
        </w:rPr>
        <w:t>Ya'ni, ijtimoiy himoya barcha fuqarolarning huquqi ekanligi, shuning uchun u asosan davlat byudjeti hisobidan ta'minlanishi nazarda tutilgan.</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Sotsial-demokratik modelni moliyalashtirish barqaror va yuqori darajadagi mehnat unumdorligiga, ham ish beruvchilar, ham xodimlarning kuchli kasaba uyushmalariga hamda ular o‘rtasidagi davlat tomonidan nazorat qilinadigan shartnomaviy munosabatlarga, ya’ni rivojlangan ijtimoiy sheriklikka asoslanadi. Taxminlarga ko'ra, davlat ijtimoiy sohani soliq tizimi orqali moliyalashtiradi, shu bilan birga u nafaqat ijtimoiy yordamni kengaytirish va moliyalashtirish, balki turli xil ijtimoiy xizmatlarning amaldagi faoliyati uchun ham javobgardir, bu faqat kuchli, ammo markazlashmagan holda mumkin. boshqaruv.</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bidi="ru-RU" w:eastAsia="ru-RU"/>
        </w:rPr>
        <w:t xml:space="preserve">     Sotsial-demokratik model Skandinaviya mamlakatlarida to'liq amalga oshirilgan bo'lib, u 20-asrning 30-yillarida boylar va aholi o'rtasidagi turmush sharoitlaridagi farqni kamaytirishga qaratilgan ijtimoiy sohani isloh qilishning bir qismi sifatida shakllana boshlagan. ichki iste'mol talabini rag'batlantirish maqsadida kambag'al. Ushbu modelning asosi davlat tomonidan bug' taqsimlashning faol siyosati bo'lib, u progressiv soliqqa tortish tizimini ham nazarda tutadi, bu esa ushbu model amalga oshirilayotgan mamlakatlarda qashshoqlikning yo'qolishi haqida gapirishga imkon berdi. olti yoshgacha bo'lgan bolalar, noto'g'ri tarbiyalangan bolalar (yomon ota-onalarga ega) va qiyin o'smirlar, qariyalar, nogironlar, ishsizlar va "qaram" (alkogolizm, giyohvandlar) "zaif guruhlar" ning mavjudligi. va boshqalar).</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Sotsial-demokratik modelda “zaif guruhlar” muammolarini hal qilishga yondashuv quyidagi tamoyillarga asoslanadi: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Barcha odamlar yoshidan qat'i nazar, bir xil qiymatga ega</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va unumdorlik, shuning uchun jamiyat zaiflarni "tashlab qo'yishi" mumkin emas va ularga o'z ehtiyojlarini qondirish uchun imkoniyatlar yaratishi kerak.</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xizmatlar va xizmatlar ixtiyoriylik asosida amalga oshiriladi.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Agar mijozlar javobgarlikka tortilmasa, ular ijro etilishi mumkin.</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himoya uzluksiz bo'lishi va hamma narsani qamrab olishi kerak</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hayotining sohalari va normal hayot kechirish imkoniyatini beradi.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himoya moslashuvchan, qulay va qulay bo'lishi kerak</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color w:val="000000"/>
          <w:sz w:val="32"/>
          <w:szCs w:val="32"/>
          <w:lang w:val="en-US" w:eastAsia="ru-RU"/>
        </w:rPr>
        <w:t xml:space="preserve">          "Bismark modeli"</w:t>
      </w:r>
      <w:r>
        <w:rPr>
          <w:rFonts w:ascii="Times New Roman" w:cs="Times New Roman" w:eastAsia="Times New Roman" w:hAnsi="Times New Roman"/>
          <w:color w:val="000000"/>
          <w:sz w:val="32"/>
          <w:szCs w:val="32"/>
          <w:lang w:val="en-US" w:eastAsia="ru-RU"/>
        </w:rPr>
        <w:t>ijtimoiy himoya darajasi va kasbiy faoliyatning muvaffaqiyati (davomiyligi) o'rtasida qat'iy bog'liqlikni o'rnatadi. Bundan kelib chiqqan holda, ushbu modeldagi insonning ijtimoiy huquqlari ularga faol hayot davomida to'lanadigan badallar bilan belgilanadi, ya'ni ijtimoiy to'lovlar kechiktirilgan daromad (sug'urta badallari) shaklida amalga oshiriladi ish beruvchilar va xodimlar tomonidan tenglik yoki umumiy asosda, qoida tariqasida, turli kasbiy sug'urta fondlari shakllantiriladigan va ijtimoiy to'lovlar amalga oshiriladigan jamoaviy bitimlarda belgilangan miqdorda ish haqidan ajratmalar undirish.</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Shu bilan birga, moliyaviy muvozanat va mablag'larning saqlanishi uchun javobgarlik kassalar (fondlar) taxtalariga yuklanadi. Ular har qanday darajadagi byudjetdan subsidiyalanmasligi kerak, chunki universal byudjet yondashuvi orqali amalga oshiriladigan soliqlarni qayta taqsimlash mehnat (sug'urta) ishtiroki mantig'iga ziddir. Bu erda ijtimoiy himoya davlatdan "moliyaviy in'ektsiya" dan tubdan mustaqil bo'lishi kerak. Faol mehnatda ishtirok etish imkoniyati zaif bo'lgan oilalar bundan mustasno bo'lib, ular uchun kam ta'minlangan aholi uchun maxsus, odatda kommunal, ijtimoiy xizmatlar yoki xayriya orqali amalga oshiriladigan milliy birdamlik mavjud. Ammo bu xizmatlarning faoliyati "Bismark modeli" da faqat "zarur yovuzlik" kabi yordamchi sifatida ko'rib chiqiladi.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i/>
          <w:color w:val="000000"/>
          <w:sz w:val="32"/>
          <w:szCs w:val="32"/>
          <w:lang w:val="en-US" w:eastAsia="ru-RU"/>
        </w:rPr>
        <w:t>Beverij modeli,</w:t>
      </w:r>
      <w:r>
        <w:rPr>
          <w:rFonts w:ascii="Times New Roman" w:cs="Times New Roman" w:eastAsia="Times New Roman" w:hAnsi="Times New Roman"/>
          <w:color w:val="000000"/>
          <w:sz w:val="32"/>
          <w:szCs w:val="32"/>
          <w:lang w:val="en-US" w:eastAsia="ru-RU"/>
        </w:rPr>
        <w:t xml:space="preserve"> Bismark modelidan farqli o'laroq, milliylashtirilgan sog'liqni saqlash tizimi bo'lib, u o't o'chirish bo'limi yoki mamlakatning jamoat kutubxonalari kabi to'g'ridan-to'g'ri byudjetdan yig'ilgan soliqlar </w:t>
      </w:r>
      <w:r>
        <w:rPr>
          <w:rFonts w:ascii="Times New Roman" w:cs="Times New Roman" w:eastAsia="Times New Roman" w:hAnsi="Times New Roman"/>
          <w:color w:val="000000"/>
          <w:sz w:val="32"/>
          <w:szCs w:val="32"/>
          <w:lang w:val="en-US" w:eastAsia="ru-RU"/>
        </w:rPr>
        <w:t xml:space="preserve">orqali moliyalashtiriladi. Beverij modeli 1942-yilda milliy ijtimoiy birdamlik g‘oyasiga asoslangan ijtimoiy sug‘urta doktrinasini ishlab chiqqan olim V.Beverij nomi bilan atalgan. </w:t>
      </w:r>
      <w:r>
        <w:rPr>
          <w:rFonts w:ascii="Times New Roman" w:cs="Times New Roman" w:eastAsia="Times New Roman" w:hAnsi="Times New Roman"/>
          <w:color w:val="000000"/>
          <w:sz w:val="32"/>
          <w:szCs w:val="32"/>
          <w:lang w:val="en-US" w:bidi="ru-RU" w:eastAsia="ru-RU"/>
        </w:rPr>
        <w:t xml:space="preserve">Beverij modelining asosiy xarakteristikalari: </w:t>
      </w:r>
    </w:p>
    <w:p>
      <w:pPr>
        <w:pStyle w:val="style0"/>
        <w:widowControl w:val="false"/>
        <w:numPr>
          <w:ilvl w:val="0"/>
          <w:numId w:val="1"/>
        </w:numPr>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 xml:space="preserve">Ijtimoiy himoyaning uch darajali turi. Davlat butun aholi uchun ijtimoiy himoyaning asosiy kafolatlarini ta'minlaydi. Ish beruvchi xodimlarning ijtimoiy (kasbiy) sug'urtasi uchun javobgardir, xodim esa qo'shimcha shaxsiy sug'urtada ishtirok etadi. </w:t>
      </w:r>
    </w:p>
    <w:p>
      <w:pPr>
        <w:pStyle w:val="style0"/>
        <w:widowControl w:val="false"/>
        <w:numPr>
          <w:ilvl w:val="0"/>
          <w:numId w:val="1"/>
        </w:numPr>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 xml:space="preserve">Davlat ijtimoiy kafolatlari yashash minimumiga, qo'shimcha ijtimoiy sug'urta - ish haqini almashtirishga (kompensatsiya qilishga), qo'shimcha ixtiyoriy shaxsiy sug'urta - ishchilarning o'zlarining shaxsiy imkoniyatlariga qaratilgan. </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 xml:space="preserve">          Ijtimoiy himoyaning uch darajasida davlat tomonidan umumiy sog'liqni saqlash, turli xil daromadli oilalar uchun bolalarni tarbiyalashda teng imkoniyatlar va ishsizlikning oldini olish asosi hisoblanadi. Tizimning asosiy vazifasi faqat qonun hujjatlarida nazarda tutilgan nafaqalarni to'lashdan iborat: </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 xml:space="preserve">1) vaqtincha mehnatga qobiliyatsizlik nafaqasi; </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bidi="ru-RU" w:eastAsia="ru-RU"/>
        </w:rPr>
      </w:pPr>
      <w:r>
        <w:rPr>
          <w:rFonts w:ascii="Times New Roman" w:cs="Times New Roman" w:eastAsia="Times New Roman" w:hAnsi="Times New Roman"/>
          <w:color w:val="000000"/>
          <w:sz w:val="32"/>
          <w:szCs w:val="32"/>
          <w:lang w:val="en-US" w:bidi="ru-RU" w:eastAsia="ru-RU"/>
        </w:rPr>
        <w:t xml:space="preserve">2) ishlab chiqarishdagi jarohatlardan jabrlanganlarga nogironlik nafaqalari (pensiya). </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bidi="ru-RU" w:eastAsia="ru-RU"/>
        </w:rPr>
        <w:t xml:space="preserve">          Pensiya miqdori nogironlik darajasiga bog'liq. Bunday pensiyaning miqdori daromad miqdoriga bog'liq emas. </w:t>
      </w:r>
      <w:r>
        <w:rPr>
          <w:rFonts w:ascii="Times New Roman" w:cs="Times New Roman" w:eastAsia="Times New Roman" w:hAnsi="Times New Roman"/>
          <w:color w:val="000000"/>
          <w:sz w:val="32"/>
          <w:szCs w:val="32"/>
          <w:lang w:val="en-US" w:eastAsia="ru-RU"/>
        </w:rPr>
        <w:t xml:space="preserve">Beverij Keynsning ishsizlikni davlat tomonidan tartibga solish haqidagi g'oyalariga asoslanadi. Beverij ijtimoiy himoyani moliyalashtirishning ikki tomonlama usulini taklif qildi. Oilaviy nafaqalar va milliy sog'liqni saqlashni davlat hisobidan moliyalashtirish taklif qilindi, boshqa ijtimoiy nafaqalar ishchilarning o'zlari, ish beruvchilar va davlat subsidiyalari hisobidan moliyalashtirilsin; 1944-yilda Britaniya hukumati V.Beverij ma’ruzasi asosida ijtimoiy sug‘urta tizimini isloh qilishga kirishdi. Milliy sog'liqni saqlash to'g'risidagi qonun, ishlab chiqarishdagi baxtsiz hodisalar va pensiya sug'urtasi sxemalarini o'z ichiga olgan yangi ijtimoiy ta'minot tizimi ishlab chiqildi. Ijtimoiy kafolatlar uchun asos sifatida ijtimoiy maqbul bo‘lgan daromadning minimal darajasidan foydalanish taklif etildi. Beveridge modeli Buyuk Britaniya, AQSh, Gollandiya, </w:t>
      </w:r>
      <w:r>
        <w:rPr>
          <w:rFonts w:ascii="Times New Roman" w:cs="Times New Roman" w:eastAsia="Times New Roman" w:hAnsi="Times New Roman"/>
          <w:color w:val="000000"/>
          <w:sz w:val="32"/>
          <w:szCs w:val="32"/>
          <w:lang w:val="en-US" w:eastAsia="ru-RU"/>
        </w:rPr>
        <w:t>Shveytsariya, Frantsiya va Yaponiyada o'z qo'llanilishini topdi. Biroq, urushdan keyingi leyboristlar hukumatining Britaniyada modelni amalga oshirishdagi shoshqaloqligi va hukumat byudjeti taqchilligi uni uzoq muddatda samarali qilmadi. Vaqt o‘tishi bilan va iqtisodiy vaziyat yaxshilangani sari ijtimoiy nafaqalarning universal, lekin juda past darajasi past davlat nafaqalarini to‘ldirish uchun korporativ sug‘urta sxemalarining parallel tizimini vujudga keltirdi va ularni u yoki bu darajada maqbul darajaga keltirdi. 1960-yillarga kelib Ushbu yondashuv qonunchilikda hisobga olindi, buning natijasida davlat ijtimoiy sug'urta to'lovlarining yagona miqdori ish haqidan oshirilgan ushlab qolishlar asosida to'lovlarni oshirishning davlat sxemasi bilan to'ldirildi.Ushbu uchlik tizim o'sib borayotgan murakkabligi va natijada samaradorligining pasayishi doimiy tanqid qilinishiga qaramay, Buyuk Britaniyada bugungi kungacha sezilarli o'zgarishlarsiz saqlanib qoldi.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Ishlab chiqarishdagi baxtsiz hodisalardan ijtimoiy sug'urta tizimi respublika byudjeti (soliq tushumlari) hisobidan moliyalashtiriladi va korxonada baxtsiz hodisa sodir bo'lgan aniq ish beruvchi bilan bog'liq emas. Bunday tizim bo'yicha sug'urta qonun bilan talab qilinadi. Bunday tizimda sug‘urtalovchining foyda olishi nazarda tutilmagan, sug‘urtalanganlarga esa boshqa sug‘urtalovchiga o‘tish imkoniyati berilmaydi. Bu erda davlat ijtimoiy sug'urta tizimi va yaxshilangan mehnat sharoitlari o'rtasida hech qanday bog'liqlik yo'q, chunki ish beruvchining ushbu tizimga qo'shgan hissasi tashkilotdagi jarohatlar darajasiga bog'liq emas. Bundan tashqari, ish beruvchi Buyuk Britaniyada faoliyat yuritish uchun litsenziyaga ega sug'urtachilardan javobgarlik sug'urtasini olishi kerak (xususiy sug'urta tizimi). Davlat ushbu sug'urta kompaniyalari faoliyatini faqat ularning to'lov qobiliyatini ta'minlash bilan bog'liq bo'lgan darajada tartibga soladi. Sug'urtasiz biznes yuritish noqonuniy hisoblanadi. Sug'urta hodisasi sodir bo'lganda, xodimga moddiy zarar qoplanadi, ya'ni baxtsiz hodisa natijasida yo'qolgan pul shaklida baholanishi mumkin bo'lgan barcha nafaqalar (shu jumladan kelajakda olishi mumkin bo'lganlar). Bu odatda bir martalik to'lovdir. Agar nizo yuzaga kelsa (va bunday nizolar xususiy sug'urta tizimida juda keng tarqalgan), xodim unga ma'lum bir ish beruvchining e'tiborsizligi </w:t>
      </w:r>
      <w:r>
        <w:rPr>
          <w:rFonts w:ascii="Times New Roman" w:cs="Times New Roman" w:eastAsia="Times New Roman" w:hAnsi="Times New Roman"/>
          <w:color w:val="000000"/>
          <w:sz w:val="32"/>
          <w:szCs w:val="32"/>
          <w:lang w:val="en-US" w:eastAsia="ru-RU"/>
        </w:rPr>
        <w:t>natijasida zarar etkazilganligini yoki bunday beparvolik tufayli zarar og'irlashtirilganligini isbotlashi kerak. Sug'urtalovchi tovon miqdoriga e'tiroz bildirishi mumkin. Sud jarayoni, ayniqsa, kompensatsiya xarajatlarining taxminan 40% ni tashkil etadigan advokat to'lovlari shaklida ishlab chiqarishdan tashqari sezilarli xarajatlarni keltirib chiqaradi. Xususiy sug'urtalovchilar sug'urta mukofotlari miqdorini va kompensatsiya to'lash bo'yicha da'volarni ko'rib chiqish tartibini belgilashda erkindir. Ular sug'urta zahiralarini fond bozoriga, shuningdek, qimmatli qog'ozlarga investitsiya qiladilar, odatda yiliga 10% daromad keltiradilar (shuning uchun sug'urta mukofotlarining jahon fond bozorlaridagi o'zgarishlarga teskari munosabati, garchi ish haqining 0,25% o'rtacha sug'urta stavkasi bitta bo'lsa-da. dunyodagi eng past ko'rsatkich). Sug'urta mukofotlari shaklida olingan mablag'lar sug'urtalovchining qo'lida qancha uzoq bo'lsa, olingan daromad shunchalik yuqori bo'ladi. Bunday sug'urtalovchi sug'urta holatlarini kamaytirishdan manfaatdor va shunga ko'ra, zararning oldini olish uchun mablag 'sarflamagan ish beruvchini sug'urta qilishdan bosh tortishi mumkin (shu maqsadda u korxonani mehnat sharoitlarini tekshirishi mumkin). Majburiy profilaktika standartlari davlat (Sog'liqni saqlash va xavfsizlik bo'yicha ijroiya organi), fuqarolik sudlari va Evropa Ittifoqi tomonidan belgilanadi. Ish beruvchi uchun standartlarga rioya qilmaslikning huquqiy oqibatlari, yuqorida aytib o'tilganidek, sug'urta qilishni rad etish (ularsiz biznes yuritish mumkin emas), jarima solish va hatto jinoiy javobgarlik.Ish beruvchilar profilaktika choralariga qancha pul sarflashlari va bu mehnat unumdorligini yo'qotishning oldini olish va mehnat jarohatlari tufayli to'lanadigan tovon miqdorini kamaytirish nuqtai nazaridan qanday tejamkorlikni ta'minlashi noma'lum.</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i/>
          <w:color w:val="000000"/>
          <w:sz w:val="32"/>
          <w:szCs w:val="32"/>
          <w:lang w:val="en-US" w:eastAsia="ru-RU"/>
        </w:rPr>
        <w:t>Beveridge</w:t>
      </w:r>
      <w:r>
        <w:rPr>
          <w:rFonts w:ascii="Times New Roman" w:cs="Times New Roman" w:eastAsia="Times New Roman" w:hAnsi="Times New Roman"/>
          <w:color w:val="000000"/>
          <w:sz w:val="32"/>
          <w:szCs w:val="32"/>
          <w:lang w:val="en-US" w:eastAsia="ru-RU"/>
        </w:rPr>
        <w:t xml:space="preserve"> modelining o'ziga xos xususiyati shundaki, ish beruvchining javobgarligi bo'yicha hech qanday cheklov yo'q. Ijtimoiy sug'urta tizimi doirasida etkazilgan zararni qoplash imkoniyati bilan bir qatorda, jabrlanuvchi mehnat jarohati yoki kasb kasalligi uchun tovon undirish uchun ish beruvchiga da'vo arizasi bilan murojaat qilish huquqiga ega.</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Shu tarzda, o'qitish, qo'shimcha ta'lim va boshqalarni ko'rsatish </w:t>
      </w:r>
      <w:r>
        <w:rPr>
          <w:rFonts w:ascii="Times New Roman" w:cs="Times New Roman" w:eastAsia="Times New Roman" w:hAnsi="Times New Roman"/>
          <w:color w:val="000000"/>
          <w:sz w:val="32"/>
          <w:szCs w:val="32"/>
          <w:lang w:val="en-US" w:eastAsia="ru-RU"/>
        </w:rPr>
        <w:t>uchun xizmatlar uchun haq to'lash masalalari ko'pincha hal qilinadi. So'nggi paytlarda ish beruvchilar riskni o'tkazish va shunga o'xshash holatlarda xususiy sug'urtachilar xizmatlariga (endi majburiy sug'urta sotib olishning bir qismi sifatida emas, ularsiz biznes yuritish mumkin emas) ko'proq murojaat qilmoqdalar.</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Sotsializmda adolat. Sotsialistik mafkura (lotincha sotsialis — ommaviy, oʻrtoqcha) — mehnatkashlar mafkurasi boʻlib, ularning ijtimoiy adolat tizimiga va ijtimoiy mavqeidan qatʼi nazar, fuqarolar tengligiga intilishlariga asoslanadi. Sotsialistik mafkuraning rivojlanishi insoniyat jamiyatida sinfiy va mulkiy tengsizlik va ekspluatatsiyaning paydo bo'lishi bilan boshlanadi, ya'ni. qadim zamonlardan beri. Platon, T. More, T. Kampanella, A. Sen-Simon, K. Marks, F. Engels, E. Bernshteyn, A. Gramsci kabi mutafakkir va siyosatchilarning asarlarida u yoki bu darajada sotsialistik g'oyalar yangragan V. Lenin va boshqalar. Sotsialistik g'oyaning mohiyati ekspluatatsiyadan, ijtimoiy tengsizlikdan xalos bo'lish, shaxsga o'z-o'zini rivojlantirish imkoniyatlarini taqdim etishdir. Ijtimoiy adolat umumiy ijtimoiy ideallardan biridir. Ayrim manbalarda ijtimoiy adolat umuminsoniy ideal sifatida tasniflanadi. Uning o'ziga xos mazmuni, shuningdek, nomi tarix davomida o'zgargan.</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Xususan, ijtimoiy adolat tamoyilini amalga oshirishda: </w:t>
      </w:r>
    </w:p>
    <w:p>
      <w:pPr>
        <w:pStyle w:val="style0"/>
        <w:widowControl w:val="false"/>
        <w:numPr>
          <w:ilvl w:val="0"/>
          <w:numId w:val="2"/>
        </w:numPr>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har bir mehnatga layoqatli shaxsni ish bilan ta'minlash; </w:t>
      </w:r>
    </w:p>
    <w:p>
      <w:pPr>
        <w:pStyle w:val="style0"/>
        <w:widowControl w:val="false"/>
        <w:numPr>
          <w:ilvl w:val="0"/>
          <w:numId w:val="2"/>
        </w:numPr>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nogironlar va etimlarning munosib ish haqi[aniqlash]; </w:t>
      </w:r>
    </w:p>
    <w:p>
      <w:pPr>
        <w:pStyle w:val="style0"/>
        <w:widowControl w:val="false"/>
        <w:numPr>
          <w:ilvl w:val="0"/>
          <w:numId w:val="2"/>
        </w:numPr>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fuqarolarning ta'lim, sog'liqni saqlash, madaniyat va sport turlaridan erkin foydalanishi.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color w:val="000000"/>
          <w:sz w:val="32"/>
          <w:szCs w:val="32"/>
          <w:lang w:val="en-US" w:eastAsia="ru-RU"/>
        </w:rPr>
        <w:t xml:space="preserve">          Ijtimoiy siyosatning liberal modeli</w:t>
      </w:r>
      <w:r>
        <w:rPr>
          <w:rFonts w:ascii="Times New Roman" w:cs="Times New Roman" w:eastAsia="Times New Roman" w:hAnsi="Times New Roman"/>
          <w:color w:val="000000"/>
          <w:sz w:val="32"/>
          <w:szCs w:val="32"/>
          <w:lang w:val="en-US" w:eastAsia="ru-RU"/>
        </w:rPr>
        <w:t xml:space="preserve"> bozorni eng samarali iqtisodiy mexanizm deb hisoblaydi. Liberal mafkura bozor iqtisodiyoti insonning barcha ehtiyojlarini samarali qondirishga va farovonlikning yuqori darajasini ta'minlashga qodir ekanligini ta'kidlaydi.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i/>
          <w:color w:val="000000"/>
          <w:sz w:val="32"/>
          <w:szCs w:val="32"/>
          <w:lang w:val="en-US" w:eastAsia="ru-RU"/>
        </w:rPr>
        <w:t>Neokonservatorlarning</w:t>
      </w:r>
      <w:r>
        <w:rPr>
          <w:rFonts w:ascii="Times New Roman" w:cs="Times New Roman" w:eastAsia="Times New Roman" w:hAnsi="Times New Roman"/>
          <w:color w:val="000000"/>
          <w:sz w:val="32"/>
          <w:szCs w:val="32"/>
          <w:lang w:val="en-US" w:eastAsia="ru-RU"/>
        </w:rPr>
        <w:t xml:space="preserve"> ijtimoiy siyosati iqtisodiy siyosat bilan chambarchas bog'liq. Neokonservativ ijtimoiy ta'limotning mohiyatini uchta asosiy tamoyil tashkil etadi: mehnat va kapital birligi g'oyasiga asoslangan birdamlik printsipi, adolat printsipi, ya'ni. “daromad va mulkni adolatli taqsimlash”, “adolatli ish haqi”, “adolatli soliq siyosati” va boshqalar, subsidiarlik tamoyili – o‘z-o‘ziga yordam va xususiy </w:t>
      </w:r>
      <w:r>
        <w:rPr>
          <w:rFonts w:ascii="Times New Roman" w:cs="Times New Roman" w:eastAsia="Times New Roman" w:hAnsi="Times New Roman"/>
          <w:color w:val="000000"/>
          <w:sz w:val="32"/>
          <w:szCs w:val="32"/>
          <w:lang w:val="en-US" w:eastAsia="ru-RU"/>
        </w:rPr>
        <w:t>tashabbusni rivojlantirishga ko‘maklashish. Ana shu tamoyillarga ko‘ra, alohida shaxslar va kichik jamoalar o‘zlarining ijtimoiy-iqtisodiy muammolarini o‘zlari hal qilishlari, davlat ixtiyoriga o‘xshash tarzda hal qilib bo‘lmaydigan masalalarnigina ishonib topshirishlari kerak. Neokonservatorlarning ijtimoiy-iqtisodiy siyosatining mohiyati mehnatkashlarga tejash, mulkka ega bo'lish, moliyaviy mustaqillik va davlat "ijtimoiy g'amxo'rligi" dan mustaqillikka erishish imkonini beradigan sharoitlarni yaratishdan iborat.</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Neokonservatorlar ijtimoiy nafaqalarga muhtoj va o‘zini-o‘zi ta’minlashga qodir bo‘lmaganlarga bepul berilishi kerak, deb hisoblaydilar. Boshqa barcha fuqarolar o'zlariga kerak bo'lgan va foydalanadigan barcha xizmatlar uchun haq to'lashlari kerak, lekin ularni o'zlari xohlagan va moddiy boyliklari imkon beradigan shakl va sifatda olishlari kerak.</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bozor iqtisodiyoti neokonservatorlarning formulasidir. Ijtimoiy bozor iqtisodiyoti, zamonaviy konservatorlar nuqtai nazaridan, mulkdorlar sinfini mustahkamlovchi va kengaytiruvchi eng muvaffaqiyatli iqtisodiy shakl emas. Bu odamlar uchun ham eng mos keladi: u fuqarolarga vazifalar beradi, lekin ularni nazorat qilmaydi.</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Siyosiy sohada neokonservatorlar eski konservativ an'anaga sodiqdirlar - demokratiya vertikal, elitistik bo'lishi kerak. Siyosiy faoliyat bir ijtimoiy guruhning imtiyozi yoki monopoliyasi emas, balki har bir kishi uchun mavjud bo'lgan kasb, lekin u tegishli qobiliyatga, kasbga va maxsus ma'lumotga ega bo'lsa. Siyosat har kimni qiziqtirishi mumkin va hatto qiziqishi ham kerak, chunki u hammaga tegishli va har kim mamlakatning siyosiy hayotida u yoki bu tarzda ishtirok etishi mumkin, ammo siyosiy qarorlarni havaskorlikdan xalos qilish uchun faqat professionallar siyosatchi bo'lishi va siyosatda ishlashi kerak. , va siyosatning o'zi oxlokratik tendentsiyalardan iborat.</w:t>
      </w:r>
    </w:p>
    <w:p>
      <w:pPr>
        <w:pStyle w:val="style0"/>
        <w:widowControl w:val="false"/>
        <w:tabs>
          <w:tab w:val="left" w:leader="none" w:pos="80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        </w:t>
      </w:r>
      <w:r>
        <w:rPr>
          <w:rFonts w:ascii="Times New Roman" w:cs="Times New Roman" w:eastAsia="Times New Roman" w:hAnsi="Times New Roman"/>
          <w:color w:val="000000"/>
          <w:sz w:val="32"/>
          <w:szCs w:val="32"/>
          <w:lang w:val="en-US" w:eastAsia="ru-RU"/>
        </w:rPr>
        <w:t xml:space="preserve">Neokonservatizm saqlab qolgan jamiyatning organik kontseptsiyasi jamiyatni yaxlitlik sifatida idrok etishga yordam berdi, bu erda o'zlarining ehtiroslari va xudbinliklari bilan odamlarning xatti-harakatlari o'rnatilgan tuzilmalar, qadriyatlar va an'analarga bo'ysunadi. Buning sharofati bilan jamiyat barqaror bo‘lib, taraqqiyotning uzluksizligini, o‘tmishning </w:t>
      </w:r>
      <w:r>
        <w:rPr>
          <w:rFonts w:ascii="Times New Roman" w:cs="Times New Roman" w:eastAsia="Times New Roman" w:hAnsi="Times New Roman"/>
          <w:color w:val="000000"/>
          <w:sz w:val="32"/>
          <w:szCs w:val="32"/>
          <w:lang w:val="en-US" w:eastAsia="ru-RU"/>
        </w:rPr>
        <w:t>kelajak bilan bog‘lanishini ta’minlaydi. Ijtimoiy borliq ziddiyatlarini aks ettiruvchi barcha zamonaviy siyosiy mafkuralar doimiy rivojlanishda. Mafkuralar yangi tarixiy shakllarga ega bo'lib, bir-biridan ma'lum ijtimoiy qatlamlarni mobillashtirish, uyushtirish rolini yaxshiroq bajaradigan va ularning ijtimoiy harakatlarini boshqaradigan qimmatli ko'rsatmalarni oladi. Shunday qilib, liberalizm "ko'proq sotsialistik", sotsializm esa "liberalroq" bo'ladi. Konservatizm liberalizm qadriyatlarini o'z ichiga oladi. Zamonaviy mafkuralar dunyoga bir yoqlama qarashdan chekinib, o‘zaro kirib borish va bir-birini to‘ldirish yo‘lidan ketayotganga o‘xshaydi. Biroq, bu hali ularning o'ziga xosligini yo'qotishiga olib kelmaydi. Mafkuralar ham ijtimoiy manfaatdorlikni, ham ijtimoiy taraqqiyotning yanada real va samarali dasturlarini izlashni aks ettiradi. Hokimiyat uchun kurashayotgan kuchlar raqobati ham, mafkuralar raqobati ham hokimiyat munosabatlarining elementi, u siyosiy taraqqiyotning dvigateli, uning demokratik tendentsiyalarining kafolatlaridan biridir.</w:t>
      </w:r>
    </w:p>
    <w:p>
      <w:pPr>
        <w:pStyle w:val="style0"/>
        <w:widowControl w:val="false"/>
        <w:spacing w:after="0" w:lineRule="auto" w:line="276"/>
        <w:jc w:val="center"/>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Nazorat savollari: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1. Ijtimoiy ishning sotsial-demokratik modelining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2.  Bismark modelining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3.</w:t>
      </w:r>
      <w:r>
        <w:rPr>
          <w:rFonts w:ascii="Times New Roman" w:cs="Times New Roman" w:eastAsia="Times New Roman" w:hAnsi="Times New Roman"/>
          <w:bCs/>
          <w:color w:val="000000"/>
          <w:sz w:val="32"/>
          <w:szCs w:val="32"/>
          <w:lang w:val="en-US" w:eastAsia="ru-RU"/>
        </w:rPr>
        <w:tab/>
      </w:r>
      <w:r>
        <w:rPr>
          <w:rFonts w:ascii="Times New Roman" w:cs="Times New Roman" w:eastAsia="Times New Roman" w:hAnsi="Times New Roman"/>
          <w:bCs/>
          <w:color w:val="000000"/>
          <w:sz w:val="32"/>
          <w:szCs w:val="32"/>
          <w:lang w:val="en-US" w:eastAsia="ru-RU"/>
        </w:rPr>
        <w:t xml:space="preserve">Beverij modelining mohiyati va mazmuni. </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4.</w:t>
      </w:r>
      <w:r>
        <w:rPr>
          <w:rFonts w:ascii="Times New Roman" w:cs="Times New Roman" w:eastAsia="Times New Roman" w:hAnsi="Times New Roman"/>
          <w:bCs/>
          <w:color w:val="000000"/>
          <w:sz w:val="32"/>
          <w:szCs w:val="32"/>
          <w:lang w:val="en-US" w:eastAsia="ru-RU"/>
        </w:rPr>
        <w:tab/>
      </w:r>
      <w:r>
        <w:rPr>
          <w:rFonts w:ascii="Times New Roman" w:cs="Times New Roman" w:eastAsia="Times New Roman" w:hAnsi="Times New Roman"/>
          <w:bCs/>
          <w:color w:val="000000"/>
          <w:sz w:val="32"/>
          <w:szCs w:val="32"/>
          <w:lang w:val="en-US" w:eastAsia="ru-RU"/>
        </w:rPr>
        <w:t>Liberal modelning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r>
        <w:rPr>
          <w:rFonts w:ascii="Times New Roman" w:cs="Times New Roman" w:eastAsia="Times New Roman" w:hAnsi="Times New Roman"/>
          <w:bCs/>
          <w:color w:val="000000"/>
          <w:sz w:val="32"/>
          <w:szCs w:val="32"/>
          <w:lang w:val="en-US" w:eastAsia="ru-RU"/>
        </w:rPr>
        <w:t xml:space="preserve">   5.   Neokonservativ modelning mohiyati va mazmuni.</w:t>
      </w:r>
    </w:p>
    <w:p>
      <w:pPr>
        <w:pStyle w:val="style0"/>
        <w:widowControl w:val="false"/>
        <w:spacing w:after="0" w:lineRule="auto" w:line="276"/>
        <w:ind w:firstLine="760"/>
        <w:jc w:val="both"/>
        <w:rPr>
          <w:rFonts w:ascii="Times New Roman" w:cs="Times New Roman" w:eastAsia="Times New Roman" w:hAnsi="Times New Roman"/>
          <w:bCs/>
          <w:color w:val="000000"/>
          <w:sz w:val="32"/>
          <w:szCs w:val="32"/>
          <w:lang w:val="en-US" w:eastAsia="ru-RU"/>
        </w:rPr>
      </w:pPr>
    </w:p>
    <w:p>
      <w:pPr>
        <w:pStyle w:val="style0"/>
        <w:widowControl w:val="false"/>
        <w:spacing w:after="38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color w:val="000000"/>
          <w:sz w:val="32"/>
          <w:szCs w:val="32"/>
          <w:lang w:val="en-US" w:eastAsia="ru-RU"/>
        </w:rPr>
        <w:t>ijtimoiy ishning institutsionalizatsiyasi,ijtimoiy xizmat, ijtimoiy sug’urta,</w:t>
      </w:r>
      <w:r>
        <w:rPr>
          <w:rFonts w:ascii="Times New Roman" w:cs="Times New Roman" w:eastAsia="Times New Roman" w:hAnsi="Times New Roman"/>
          <w:bCs/>
          <w:color w:val="000000"/>
          <w:sz w:val="32"/>
          <w:szCs w:val="32"/>
          <w:lang w:val="en-US" w:eastAsia="ru-RU"/>
        </w:rPr>
        <w:t xml:space="preserve"> sotsial-demokratik model, Bismark modeli,</w:t>
      </w:r>
      <w:r>
        <w:rPr>
          <w:rFonts w:ascii="Times New Roman" w:cs="Times New Roman" w:eastAsia="Times New Roman" w:hAnsi="Times New Roman"/>
          <w:color w:val="000000"/>
          <w:sz w:val="32"/>
          <w:szCs w:val="32"/>
          <w:lang w:val="en-US" w:eastAsia="ru-RU"/>
        </w:rPr>
        <w:t xml:space="preserve"> beveridj modeli,</w:t>
      </w:r>
      <w:r>
        <w:rPr>
          <w:rFonts w:ascii="Times New Roman" w:cs="Times New Roman" w:eastAsia="Times New Roman" w:hAnsi="Times New Roman"/>
          <w:bCs/>
          <w:color w:val="000000"/>
          <w:sz w:val="32"/>
          <w:szCs w:val="32"/>
          <w:lang w:val="en-US" w:eastAsia="ru-RU"/>
        </w:rPr>
        <w:t xml:space="preserve"> liberal model,</w:t>
      </w:r>
      <w:r>
        <w:rPr>
          <w:rFonts w:ascii="Times New Roman" w:cs="Times New Roman" w:eastAsia="Times New Roman" w:hAnsi="Times New Roman"/>
          <w:color w:val="000000"/>
          <w:sz w:val="32"/>
          <w:szCs w:val="32"/>
          <w:lang w:val="en-US" w:eastAsia="ru-RU"/>
        </w:rPr>
        <w:t xml:space="preserve"> neokonservativ model.</w:t>
      </w:r>
    </w:p>
    <w:bookmarkStart w:id="0" w:name="_GoBack"/>
    <w:bookmarkEnd w:id="0"/>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cc"/>
    <w:family w:val="roman"/>
    <w:pitch w:val="variable"/>
    <w:sig w:usb0="E0002EFF" w:usb1="C0007843" w:usb2="00000009" w:usb3="00000000" w:csb0="000001FF" w:csb1="00000000"/>
  </w:font>
  <w:font w:name="Courier New">
    <w:altName w:val="Courier New"/>
    <w:panose1 w:val="02070309020002020404"/>
    <w:charset w:val="cc"/>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4C89D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cs="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cs="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cs="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45CAE2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cs="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cs="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cs="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1936</Words>
  <Pages>8</Pages>
  <Characters>15033</Characters>
  <Application>WPS Office</Application>
  <DocSecurity>0</DocSecurity>
  <Paragraphs>51</Paragraphs>
  <ScaleCrop>false</ScaleCrop>
  <LinksUpToDate>false</LinksUpToDate>
  <CharactersWithSpaces>17150</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2026-01-06T13:26:00Z</dcterms:created>
  <dc:creator>Samsung</dc:creator>
  <lastModifiedBy>BTK-W09</lastModifiedBy>
  <dcterms:modified xsi:type="dcterms:W3CDTF">2026-01-06T14:03:12Z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5206e75477e74c88b830cab8707bdbfb</vt:lpwstr>
  </property>
</Properties>
</file>