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widowControl w:val="false"/>
        <w:spacing w:after="380" w:lineRule="auto" w:line="276"/>
        <w:ind w:left="380" w:firstLine="360"/>
        <w:jc w:val="center"/>
        <w:rPr>
          <w:rFonts w:ascii="Times New Roman" w:cs="Times New Roman" w:eastAsia="Times New Roman" w:hAnsi="Times New Roman"/>
          <w:b/>
          <w:bCs/>
          <w:color w:val="000000"/>
          <w:sz w:val="32"/>
          <w:szCs w:val="32"/>
          <w:lang w:val="tg-Cyrl-TJ" w:eastAsia="ru-RU"/>
        </w:rPr>
      </w:pPr>
      <w:r>
        <w:rPr>
          <w:rFonts w:ascii="Times New Roman" w:cs="Times New Roman" w:eastAsia="Times New Roman" w:hAnsi="Times New Roman"/>
          <w:b/>
          <w:bCs/>
          <w:color w:val="000000"/>
          <w:sz w:val="32"/>
          <w:szCs w:val="32"/>
          <w:lang w:val="en-US" w:eastAsia="ru-RU"/>
        </w:rPr>
        <w:t xml:space="preserve">Mavzu 8. </w:t>
      </w:r>
      <w:r>
        <w:rPr>
          <w:rFonts w:ascii="Times New Roman" w:cs="Times New Roman" w:eastAsia="Times New Roman" w:hAnsi="Times New Roman"/>
          <w:b/>
          <w:bCs/>
          <w:color w:val="000000"/>
          <w:sz w:val="32"/>
          <w:szCs w:val="32"/>
          <w:lang w:val="tg-Cyrl-TJ" w:eastAsia="ru-RU"/>
        </w:rPr>
        <w:t>Ijtimoiy ishning xalqaro infrastrukturasi</w:t>
      </w:r>
    </w:p>
    <w:p>
      <w:pPr>
        <w:pStyle w:val="style0"/>
        <w:widowControl w:val="false"/>
        <w:spacing w:after="380" w:lineRule="auto" w:line="276"/>
        <w:ind w:left="380" w:firstLine="360"/>
        <w:jc w:val="center"/>
        <w:rPr>
          <w:rFonts w:ascii="Times New Roman" w:cs="Times New Roman" w:eastAsia="Times New Roman" w:hAnsi="Times New Roman"/>
          <w:b/>
          <w:bCs/>
          <w:color w:val="000000"/>
          <w:sz w:val="32"/>
          <w:szCs w:val="32"/>
          <w:lang w:val="en-US" w:eastAsia="ru-RU"/>
        </w:rPr>
      </w:pPr>
      <w:r>
        <w:rPr>
          <w:rFonts w:ascii="Times New Roman" w:cs="Times New Roman" w:eastAsia="Times New Roman" w:hAnsi="Times New Roman"/>
          <w:b/>
          <w:bCs/>
          <w:color w:val="000000"/>
          <w:sz w:val="32"/>
          <w:szCs w:val="32"/>
          <w:lang w:val="en-US" w:eastAsia="ru-RU"/>
        </w:rPr>
        <w:t>Reja:</w:t>
      </w:r>
    </w:p>
    <w:p>
      <w:pPr>
        <w:pStyle w:val="style0"/>
        <w:widowControl w:val="false"/>
        <w:numPr>
          <w:ilvl w:val="0"/>
          <w:numId w:val="1"/>
        </w:numPr>
        <w:tabs>
          <w:tab w:val="left" w:leader="none" w:pos="773"/>
        </w:tabs>
        <w:spacing w:after="0" w:lineRule="auto" w:line="276"/>
        <w:rPr>
          <w:rFonts w:ascii="Times New Roman" w:cs="Times New Roman" w:eastAsia="Times New Roman" w:hAnsi="Times New Roman"/>
          <w:b/>
          <w:sz w:val="32"/>
          <w:szCs w:val="32"/>
          <w:lang w:val="en-US" w:eastAsia="ru-RU"/>
        </w:rPr>
      </w:pPr>
      <w:r>
        <w:rPr>
          <w:rFonts w:ascii="Times New Roman" w:cs="Times New Roman" w:eastAsia="Times New Roman" w:hAnsi="Times New Roman"/>
          <w:b/>
          <w:color w:val="000000"/>
          <w:sz w:val="32"/>
          <w:szCs w:val="32"/>
          <w:lang w:val="en-US" w:eastAsia="ru-RU"/>
        </w:rPr>
        <w:t>Ijtimoiy ishda professionalizm: mohiyati, shakllanish omillari.</w:t>
      </w:r>
    </w:p>
    <w:p>
      <w:pPr>
        <w:pStyle w:val="style0"/>
        <w:widowControl w:val="false"/>
        <w:numPr>
          <w:ilvl w:val="0"/>
          <w:numId w:val="1"/>
        </w:numPr>
        <w:tabs>
          <w:tab w:val="left" w:leader="none" w:pos="806"/>
        </w:tabs>
        <w:spacing w:after="0" w:lineRule="auto" w:line="276"/>
        <w:rPr>
          <w:rFonts w:ascii="Times New Roman" w:cs="Times New Roman" w:eastAsia="Times New Roman" w:hAnsi="Times New Roman"/>
          <w:b/>
          <w:sz w:val="32"/>
          <w:szCs w:val="32"/>
          <w:lang w:eastAsia="ru-RU"/>
        </w:rPr>
      </w:pPr>
      <w:r>
        <w:rPr>
          <w:rFonts w:ascii="Times New Roman" w:cs="Times New Roman" w:eastAsia="Times New Roman" w:hAnsi="Times New Roman"/>
          <w:b/>
          <w:color w:val="000000"/>
          <w:sz w:val="32"/>
          <w:szCs w:val="32"/>
          <w:lang w:eastAsia="ru-RU"/>
        </w:rPr>
        <w:t>Ijtimoiy xodimlar xalqaro federatsiyasi.</w:t>
      </w:r>
    </w:p>
    <w:p>
      <w:pPr>
        <w:pStyle w:val="style0"/>
        <w:widowControl w:val="false"/>
        <w:numPr>
          <w:ilvl w:val="0"/>
          <w:numId w:val="1"/>
        </w:numPr>
        <w:tabs>
          <w:tab w:val="left" w:leader="none" w:pos="797"/>
        </w:tabs>
        <w:spacing w:after="0" w:lineRule="auto" w:line="276"/>
        <w:rPr>
          <w:rFonts w:ascii="Times New Roman" w:cs="Times New Roman" w:eastAsia="Times New Roman" w:hAnsi="Times New Roman"/>
          <w:b/>
          <w:sz w:val="32"/>
          <w:szCs w:val="32"/>
          <w:lang w:eastAsia="ru-RU"/>
        </w:rPr>
      </w:pPr>
      <w:r>
        <w:rPr>
          <w:rFonts w:ascii="Times New Roman" w:cs="Times New Roman" w:eastAsia="Times New Roman" w:hAnsi="Times New Roman"/>
          <w:b/>
          <w:color w:val="000000"/>
          <w:sz w:val="32"/>
          <w:szCs w:val="32"/>
          <w:lang w:eastAsia="ru-RU"/>
        </w:rPr>
        <w:t>Ijtimoiy xizmat maktablari xalqaro assotsiatsiyasi (IXMXA).</w:t>
      </w:r>
    </w:p>
    <w:p>
      <w:pPr>
        <w:pStyle w:val="style0"/>
        <w:widowControl w:val="false"/>
        <w:numPr>
          <w:ilvl w:val="0"/>
          <w:numId w:val="1"/>
        </w:numPr>
        <w:tabs>
          <w:tab w:val="left" w:leader="none" w:pos="806"/>
        </w:tabs>
        <w:spacing w:after="380" w:lineRule="auto" w:line="276"/>
        <w:rPr>
          <w:rFonts w:ascii="Times New Roman" w:cs="Times New Roman" w:eastAsia="Times New Roman" w:hAnsi="Times New Roman"/>
          <w:b/>
          <w:sz w:val="32"/>
          <w:szCs w:val="32"/>
          <w:lang w:eastAsia="ru-RU"/>
        </w:rPr>
      </w:pPr>
      <w:r>
        <w:rPr>
          <w:rFonts w:ascii="Times New Roman" w:cs="Times New Roman" w:eastAsia="Times New Roman" w:hAnsi="Times New Roman"/>
          <w:b/>
          <w:color w:val="000000"/>
          <w:sz w:val="32"/>
          <w:szCs w:val="32"/>
          <w:lang w:eastAsia="ru-RU"/>
        </w:rPr>
        <w:t>AQSh ijtimoiy xodimlari professional assotsiatsiyasi</w:t>
      </w:r>
    </w:p>
    <w:p>
      <w:pPr>
        <w:pStyle w:val="style0"/>
        <w:widowControl w:val="false"/>
        <w:spacing w:after="0" w:lineRule="auto" w:line="276"/>
        <w:ind w:firstLine="780"/>
        <w:jc w:val="both"/>
        <w:rPr>
          <w:rFonts w:ascii="Times New Roman" w:cs="Times New Roman" w:eastAsia="Times New Roman" w:hAnsi="Times New Roman"/>
          <w:sz w:val="32"/>
          <w:szCs w:val="32"/>
          <w:lang w:eastAsia="ru-RU"/>
        </w:rPr>
      </w:pPr>
      <w:r>
        <w:rPr>
          <w:rFonts w:ascii="Times New Roman" w:cs="Times New Roman" w:eastAsia="Times New Roman" w:hAnsi="Times New Roman"/>
          <w:color w:val="000000"/>
          <w:sz w:val="32"/>
          <w:szCs w:val="32"/>
          <w:lang w:eastAsia="ru-RU"/>
        </w:rPr>
        <w:t>Ijtimoiy ishda professionalizm tushunchasi ilmiy muomalaga darhol kiritilmagan va u AQSh va G'arbiy yevropa mamlakatlarida qo'llanilgan. 20-asr boshlarida ham ijtimoiy xizmat kasb hisoblanmas, ijtimoiy xodimlarikkinchi darajali lavozim sanalgan. Ammo bosqichma- bosqich ijtimoiy xizmat va ijtimoiy xodimlarning maqomi o'zgarib borgan. Bu kasbning obro'si sezilarli ravishda ko'tarilib, davlat, munisipal va xususiy sektorda aholiga ijtimoiy xizmat ko'rsatish ko'pgina mamlakatlarda ilmiy tadqiqotlar, ijtimoiy amaliyot va qonunchilikda o'z aksini topdi.</w:t>
      </w:r>
    </w:p>
    <w:p>
      <w:pPr>
        <w:pStyle w:val="style0"/>
        <w:widowControl w:val="false"/>
        <w:spacing w:after="0" w:lineRule="auto" w:line="276"/>
        <w:ind w:firstLine="760"/>
        <w:jc w:val="both"/>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eastAsia="ru-RU"/>
        </w:rPr>
        <w:t xml:space="preserve">Ijtimoiy xodim kasbiy faoliyatining tarkibi aholini ijtimoiy qilish sohasidagi qonunlar, qonunosti hujjatlari, bu sohadagi mehnat taqsimotiga binoan bajariladigan vazifalarni belgilaydi. Ijtimoiy xodimning kasbiy mehnati bir-biriga bog'liq va bir-birini to'ldiruvchi shaxsiy, funksional va moddiy komponentlardan iborat. pedagogik, ijtimoiy-psixologik, ijtimoiy- huquqiy va ijtimoiy-maishiy xizmatlar), profilaktika va oldini olish ishlarida band bo'lgan xodimlarga bo'linadi. Keltirilganlardan kelib chiqib xulosa qilish mumkinki, ijtimoiy ishda professionalizm- hayotiy muammolarni hal qilishda malakali faoliyatni ta'minlaydigan, mehnat sifati va natijalarning yuqori bo'lishiga olib keluvchi mutaxassisning yuqori darajadagi bilim, mahorat va malakasini doimiy saqlab turishdir. Ijtimoiy xizmat ko'rsatish muassasalari xodimlarini kasbiy tayyorgarligi nuqtai nazaridan mutaxassislar va mutaxassis bo'lmaganlarga ajratiladi. Ijtimoiy ish mutaxassislari profil yoki noprofil oliy hamda o'rta ma'luXMTga ega bo'ladilar. Mutaxassis bo'lmaganlar shuningdek yordamchi xizmat ko'rsatish xodimlari uch </w:t>
      </w:r>
      <w:r>
        <w:rPr>
          <w:rFonts w:ascii="Times New Roman" w:cs="Times New Roman" w:eastAsia="Times New Roman" w:hAnsi="Times New Roman"/>
          <w:color w:val="000000"/>
          <w:sz w:val="32"/>
          <w:szCs w:val="32"/>
          <w:lang w:eastAsia="ru-RU"/>
        </w:rPr>
        <w:t xml:space="preserve">guruhga bo'linadi: malakali, yarim malakali va malakaga ega bo'lmagan xodimlar. Amaliyotda ko'rinadiki, ular turli kasbiy malaka, tayyorgarlik va mahoratga ega bo'ladilar. Shuni tan olish kerakki, ijtimoiy ish bo'yicha mutaxassis lavozimi egallagan hamma xodimlar ham lavozimmajburiyatlarini bajarish uchun, ijtimoiy ish mijozlari muammolarini samarali hal qilish uchun yetarli kasbiy mahoratga ega emas.Kasbiy-shaxsiy sifatlar shakllanishi va ijtimoiy hizmat xodimi sifatida rivojlanish kasbiy qiziqish shakllanishini, mos ta'lim olishni, kasbiy mahoratni shakllantirish hamda axloqiy-ruhiy sifatlar, shuningdek o'zini boshqarish va o'zini takomillashtirish ko'nikmalarni shakllantirishni nazarda tutadi. </w:t>
      </w:r>
      <w:r>
        <w:rPr>
          <w:rFonts w:ascii="Times New Roman" w:cs="Times New Roman" w:eastAsia="Times New Roman" w:hAnsi="Times New Roman"/>
          <w:color w:val="000000"/>
          <w:sz w:val="32"/>
          <w:szCs w:val="32"/>
          <w:lang w:val="en-US" w:eastAsia="ru-RU"/>
        </w:rPr>
        <w:t>Ijtimoiy ish xalqaro federatsiyasi</w:t>
      </w:r>
      <w:r>
        <w:rPr/>
        <w:fldChar w:fldCharType="begin"/>
      </w:r>
      <w:r>
        <w:instrText xml:space="preserve"> HYPERLINK \l "bookmark40" \o "Current Document" </w:instrText>
      </w:r>
      <w:r>
        <w:rPr/>
        <w:fldChar w:fldCharType="separate"/>
      </w:r>
      <w:r>
        <w:rPr>
          <w:rFonts w:ascii="Times New Roman" w:cs="Times New Roman" w:eastAsia="Times New Roman" w:hAnsi="Times New Roman"/>
          <w:color w:val="0563c1"/>
          <w:sz w:val="32"/>
          <w:szCs w:val="32"/>
          <w:u w:val="single"/>
          <w:vertAlign w:val="superscript"/>
          <w:lang w:eastAsia="ru-RU"/>
        </w:rPr>
        <w:footnoteReference w:id="1"/>
      </w:r>
      <w:r>
        <w:rPr>
          <w:rFonts w:ascii="Times New Roman" w:cs="Times New Roman" w:eastAsia="Times New Roman" w:hAnsi="Times New Roman"/>
          <w:color w:val="0563c1"/>
          <w:sz w:val="32"/>
          <w:szCs w:val="32"/>
          <w:u w:val="single"/>
          <w:lang w:val="en-US" w:eastAsia="ru-RU"/>
        </w:rPr>
        <w:t xml:space="preserve"> </w:t>
      </w:r>
      <w:r>
        <w:rPr/>
        <w:fldChar w:fldCharType="end"/>
      </w:r>
      <w:r>
        <w:rPr>
          <w:rFonts w:ascii="Times New Roman" w:cs="Times New Roman" w:eastAsia="Times New Roman" w:hAnsi="Times New Roman"/>
          <w:i/>
          <w:iCs/>
          <w:color w:val="000000"/>
          <w:sz w:val="32"/>
          <w:szCs w:val="32"/>
          <w:lang w:val="en-US" w:eastAsia="ru-RU"/>
        </w:rPr>
        <w:t>(International Federation of Social Workers)</w:t>
      </w:r>
      <w:r>
        <w:rPr>
          <w:rFonts w:ascii="Times New Roman" w:cs="Times New Roman" w:eastAsia="Times New Roman" w:hAnsi="Times New Roman"/>
          <w:color w:val="000000"/>
          <w:sz w:val="32"/>
          <w:szCs w:val="32"/>
          <w:lang w:val="en-US" w:eastAsia="ru-RU"/>
        </w:rPr>
        <w:t xml:space="preserve"> ijtimoiy xodimlar xalqaro doimiy kotibiyatining davomchisi bo'lib, unga 1928-yilda Parijda asos solingan. Ikkinchi jahon urushi davrida xalqaro hamkorlik bo'yicha barcha harakatlar bekor bo'lgan. Ammo 1950-yilda 7 mamlakatdagi kasbiy assotsiatsiyalardagi ijtimoiy xodimlar ixtiyoriy asosda ijtimoiy xodimlar xalqaro assotsiatsiyasini tiklashga qaror qildilar. 1956-yil 5-10 avgust kunlari Myunhyenda bo'lib o'tgan ijtimoiy xodimlar xalqaro konferensiyasi alohida voqyelik bo'lib, natijada 1956-yil 9-avgustda mazkur 7 ta assotsiatsiya Ijtimoiy Xodimlar Xalqaro Federatsiyasini tuzdilar (IHXF). Tashkilotning ta'sischilari quyidagi mamlakat assotsiatsiyalari bo'lishdi: Avstriya, Belgiya, Kanada, Daniya, Angliya, Fransiya, Germaniya, Gretsiya, Niderlandiya, Shveytsariya va AQSh. Bugungi kunda IHXF butun dunyo bo'ylab ijtimoiy xizmat assotsiatsiyalarining 80 dan ortiq a'zosini qamrab olgan. U tashkil qilingandan buyon xalqaro konferensiya muntazam ravishda ikki yilda bir marta o'tkaziladi. Toq yillarda konferensiya har bir mintaqada o'tkaziladi. «Ijtimoiy xodimning axloq kodeksi»</w:t>
      </w:r>
      <w:r>
        <w:rPr/>
        <w:fldChar w:fldCharType="begin"/>
      </w:r>
      <w:r>
        <w:instrText xml:space="preserve"> HYPERLINK \l "bookmark41" \o "Current Document" </w:instrText>
      </w:r>
      <w:r>
        <w:rPr/>
        <w:fldChar w:fldCharType="separate"/>
      </w:r>
      <w:r>
        <w:rPr>
          <w:rFonts w:ascii="Times New Roman" w:cs="Times New Roman" w:eastAsia="Times New Roman" w:hAnsi="Times New Roman"/>
          <w:color w:val="000000"/>
          <w:sz w:val="32"/>
          <w:szCs w:val="32"/>
          <w:vertAlign w:val="superscript"/>
          <w:lang w:eastAsia="ru-RU"/>
        </w:rPr>
        <w:footnoteReference w:id="2"/>
      </w:r>
      <w:r>
        <w:rPr>
          <w:rFonts w:ascii="Times New Roman" w:cs="Times New Roman" w:eastAsia="Times New Roman" w:hAnsi="Times New Roman"/>
          <w:color w:val="000000"/>
          <w:sz w:val="32"/>
          <w:szCs w:val="32"/>
          <w:lang w:val="en-US" w:eastAsia="ru-RU"/>
        </w:rPr>
        <w:t xml:space="preserve"> </w:t>
      </w:r>
      <w:r>
        <w:rPr/>
        <w:fldChar w:fldCharType="end"/>
      </w:r>
      <w:r>
        <w:rPr>
          <w:rFonts w:ascii="Times New Roman" w:cs="Times New Roman" w:eastAsia="Times New Roman" w:hAnsi="Times New Roman"/>
          <w:color w:val="000000"/>
          <w:sz w:val="32"/>
          <w:szCs w:val="32"/>
          <w:lang w:val="en-US" w:eastAsia="ru-RU"/>
        </w:rPr>
        <w:t xml:space="preserve">ijtimoiy xodimlar xalqaro federatsiyasi va ijtimoiy xodimlar xalqaro federatsiyasiyaning a'zosi bo'lgan Ijtimoiy pedagoglar va ijtimoiy xodimlar uyushmasi umumrossiya jamoat tashkilotining tavsiyalari asosida ishlab chiqilgan. Kodeks o'zida ijtimoiy soha mutaxassislarining o'z kasbiy </w:t>
      </w:r>
      <w:r>
        <w:rPr>
          <w:rFonts w:ascii="Times New Roman" w:cs="Times New Roman" w:eastAsia="Times New Roman" w:hAnsi="Times New Roman"/>
          <w:color w:val="000000"/>
          <w:sz w:val="32"/>
          <w:szCs w:val="32"/>
          <w:lang w:val="en-US" w:eastAsia="ru-RU"/>
        </w:rPr>
        <w:t>majburiyatlarini bajarish bilan bog'liq ijtimoiy ishning asosiy tamoyillari va ahamiyati keltirilgan hujjatdir. «Ijtimoiy xodimning axloq kodeksi»ning bosh maqsadi insonning axloqiy tamoyillari va ma'naviy o'rnini belgilash, mijozning ijtimoiy ehtiyojlariniqondirishda mutaxassisi (ijtimoiy xodim) va jamiyat (turli institutlar) o'zaro munosabatlarini belgilashdan iboratdir.Kodeks 6 banddan iborat kirish, IX tushunchalaridan tashkil topgan: «Ijtimoiy xizmat- insonning ijtimoiy ehtiyojlarini qondirish bo'yicha (kasbiy va nokasbiy, majburiy va ixtiyoriy) faoliyat shakllarining yig'indisidir. Kimdir yordam so'rab ijtimoiy xodimga murojaat qilsa yoki kimgadir bunday yordam taklif qilinsa u ijtimoiy xizmat mijozi sifatida belgilanadi. Mijoz shaxs. Oila, qandaydir guruh yoki jamiyat bo'lishi mumkin».</w:t>
      </w:r>
      <w:r>
        <w:rPr>
          <w:rFonts w:ascii="Times New Roman" w:cs="Times New Roman" w:eastAsia="Times New Roman" w:hAnsi="Times New Roman"/>
          <w:sz w:val="32"/>
          <w:szCs w:val="32"/>
          <w:lang w:val="en-US"/>
        </w:rPr>
        <w:t xml:space="preserve"> </w:t>
      </w:r>
      <w:r>
        <w:rPr>
          <w:rFonts w:ascii="Times New Roman" w:cs="Times New Roman" w:eastAsia="Times New Roman" w:hAnsi="Times New Roman"/>
          <w:color w:val="000000"/>
          <w:sz w:val="32"/>
          <w:szCs w:val="32"/>
          <w:lang w:val="en-US" w:eastAsia="ru-RU"/>
        </w:rPr>
        <w:t xml:space="preserve">qator etik dilemmalar va ijtimoiy xodim duch keladigan muammolar faqat ma'lum mamlakatlar uchun xso bo'lib, boshqalari barcha uchun umumiy bo'ladi. Umumiy tamoyillarga asoslangan IXXF ijtimoiy ish maktabi xalqaro assotsiatsiyasi IXMXA qo'shma deklaratsiyasining maqsadi ijtimoiy xodimlarni butun dunyoda kengaytirish, ular duch keladigan murakkab vazifalar va dilemmalarni hal qilish, etika masalalarida har bir holatda qanday harakat qilishni aniqlashdir. Bu hujjatlarning boshlang'ich nuqtasi ijtimoiy ishni belgilash bo'lib, IHXF va IXMXA 2000-yil iyulda Kanadaning Monreal shahridagi ularning bosh konferensiyasida mustaqil ravishda qabul qilinib, keyinchalik 2001-yil mayda Kopengagenda birgalikda kelishildi. Bu ta'riflar inson huquqi va ijtimoiy adolatlilik tamoyillarini qayd etadi. Keyingi bo'lim (3) inson huquqi to'g'risidagi turli deklaratsiyalar va konvensiyalarni yodda tutib, ijtimoiy ishda dolzarb bo'ladi. Keyinchalik ikki sarlavhaga ega umumiy axloqiy tamoyillar to'g'risida deklaratsiya keladi: insonning huquqlari va qadri hamda ijtimoiy adolatlilik. (bo'lim 4). Oxirgi bo'lim ijtimoiy ishda kasbiy etika bo'yicha bir qator asosiy tavsiyalarni ko'rsatadi. Bu tavsiyalar axloq bo'yicha dasturlarda batafsil ishlabchiqilgan va IHXF va IXMXA tashkilotlari a'zolarining turli erkinliklari me'yori va qoidalarini aks ettiradi. Buyuk Britaniya ijtimoiy xodimlari Milliy assotsiatsiyasi Britan ijtimoiy xodimlar assotsiatsiyasi (BASW) - Buyuk Britaniyada ijtimoiy xizmat va ijtimoiy xodimlarni taqdim qiluvchi eng yirik </w:t>
      </w:r>
      <w:r>
        <w:rPr>
          <w:rFonts w:ascii="Times New Roman" w:cs="Times New Roman" w:eastAsia="Times New Roman" w:hAnsi="Times New Roman"/>
          <w:color w:val="000000"/>
          <w:sz w:val="32"/>
          <w:szCs w:val="32"/>
          <w:lang w:val="en-US" w:eastAsia="ru-RU"/>
        </w:rPr>
        <w:t>assotsiatsyailardan biridir. Britan Assotsiatsiyasi 30 yildan buyon mavjud. Bu yillarda u murakkab ylni bosib o'tib, amaliy tajriba to'pladi. Assotsiatsiyada 8500 dan ortiq a'zo bo'lib, ko'pchiligi Angliyada yashaydi va amaliy ijtimoiy xodim sanaladi.Britan Assotsiatsiyasi ish beruvchilar bilan shartnomalar tuzadi.Bunday shartnomalar ijtimoiy xususiy agentliklar manfaatlarini saqlab, Assotsiatsiya a'zolariga jamoat ishlari bilan shug'ullanish va assotsiatsiya faoliyatining asosiy yo'nalishlarini targ'ib qilish imkonini beradi. Britan Assotsiatsiyasi o'z ustaviga ega. Bunda assotsiatsiya a'zolarining majburiyatlari, asosiy axloqiy tamoyillari keltirilgan. Assotsiatsiya a'zoligi ish sohasida kengayib, ijtimoiy xodimlar ularni bajarishlari mumkin. Litsenziyaga ega va kasbiy tayyorgarlik darajasi yuqori ijtimoiy xodim assotsiatsiya a'zolariga tegishli barcha talablarga javob berishi kerak..</w:t>
      </w:r>
    </w:p>
    <w:p>
      <w:pPr>
        <w:pStyle w:val="style0"/>
        <w:widowControl w:val="false"/>
        <w:spacing w:after="0" w:lineRule="auto" w:line="276"/>
        <w:ind w:firstLine="760"/>
        <w:jc w:val="both"/>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val="en-US" w:eastAsia="ru-RU"/>
        </w:rPr>
        <w:t>Assotsiatsiyaning asosiy vazifasi himoya qilishdir. Bunda mijozlarning huquqi kabi turli darajadagi ijtimoiy xodimlarning huquqlari himoya qilinadi. Vazifa shundan iboratki, barcha tomonlar: ish iste'molchilari, ish beruvchilar, ijrochilarning huquqlari va qonuniy manfaatlarini ta'minlashdir.</w:t>
      </w:r>
    </w:p>
    <w:p>
      <w:pPr>
        <w:pStyle w:val="style0"/>
        <w:widowControl w:val="false"/>
        <w:spacing w:after="0" w:lineRule="auto" w:line="276"/>
        <w:ind w:firstLine="760"/>
        <w:jc w:val="both"/>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val="en-US" w:eastAsia="ru-RU"/>
        </w:rPr>
        <w:t>Assotsiatsiya ijtimoiy qonunchilikni ishlab chiqish, ijtimoiy xodimlar mehnat sharoitlarini yaxshilash, ijtimoiy sohaga xodimlarni jalb qilish bilan shug'ullanadi. Assotsiatsiya a'zolari ommaviy axborot vositalari bilan muloqot qilish va jamiyat fikrini shakllantirishda ishtirok etish huquqiga ega.</w:t>
      </w:r>
    </w:p>
    <w:p>
      <w:pPr>
        <w:pStyle w:val="style0"/>
        <w:widowControl w:val="false"/>
        <w:spacing w:after="0" w:lineRule="auto" w:line="276"/>
        <w:ind w:firstLine="760"/>
        <w:jc w:val="both"/>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val="en-US" w:eastAsia="ru-RU"/>
        </w:rPr>
        <w:t>Ijtimoiy xodim amaliy ishlarining o'ziga xosligi shundan iboratki, ta'lim olgandan so'ng har bir ijtimoiy xodim davlat mustaqil kengashida ro'yxatdan o'tib, litsenziya oladi. Amaliy faoliyatni davom ettirish uchun har yili ish beruvchi va mustaqil kengash oldida o'z faoliyatining yuqori axloqiy ekanligini isbotlab berish kerak. Assotsiatsiya ahamiyati shundan iboratki, ish beruvchi va mustaqil kengash oldida ijtimoiy xodimning manfaatlarini aks ettirib, muammoli masalalar paydo bo'lganda maslahat berib, ijtimoiy xodim tayyorgarligiga zamonaviy talablar to'g'risida axborot beradi.</w:t>
      </w:r>
    </w:p>
    <w:p>
      <w:pPr>
        <w:pStyle w:val="style0"/>
        <w:widowControl w:val="false"/>
        <w:spacing w:after="0" w:lineRule="auto" w:line="276"/>
        <w:ind w:firstLine="720"/>
        <w:jc w:val="both"/>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val="en-US" w:eastAsia="ru-RU"/>
        </w:rPr>
        <w:t xml:space="preserve">Assotsiatsiya boshqa tashkilotlar bilan hamkorlik qiladi: ijtimoiy ish maktablari assotsiatsiyasi, direktorlar assotsiatsiyasi, kasaba uyushma </w:t>
      </w:r>
      <w:r>
        <w:rPr>
          <w:rFonts w:ascii="Times New Roman" w:cs="Times New Roman" w:eastAsia="Times New Roman" w:hAnsi="Times New Roman"/>
          <w:color w:val="000000"/>
          <w:sz w:val="32"/>
          <w:szCs w:val="32"/>
          <w:lang w:val="en-US" w:eastAsia="ru-RU"/>
        </w:rPr>
        <w:t>tashkilotlari. Bu kuchlarni birlashtirish, o'zaro faoliyatning strategik yo'nalishlarini ishlab chiqish va ijtimoiy xodim faoliyatida siyosiy nuqtai nazardan o'zgartirishga yordam beradi.</w:t>
      </w:r>
    </w:p>
    <w:p>
      <w:pPr>
        <w:pStyle w:val="style0"/>
        <w:widowControl w:val="false"/>
        <w:spacing w:after="0" w:lineRule="auto" w:line="276"/>
        <w:ind w:firstLine="720"/>
        <w:jc w:val="both"/>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val="en-US" w:eastAsia="ru-RU"/>
        </w:rPr>
        <w:t>Assotsiatsiya a'zolari quyidagi imtiyozlarga ega: bepul maslahat olish, sug'urtalashda, mebellar, buyumlar xarid qilishda chegirmalar, seminar va konferensiyalarda qatnashishda imtiyozlar.</w:t>
      </w:r>
    </w:p>
    <w:p>
      <w:pPr>
        <w:pStyle w:val="style0"/>
        <w:widowControl w:val="false"/>
        <w:spacing w:after="0" w:lineRule="auto" w:line="276"/>
        <w:ind w:firstLine="720"/>
        <w:jc w:val="both"/>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val="en-US" w:eastAsia="ru-RU"/>
        </w:rPr>
        <w:t>Qo'shma Shtatlardagi ijtimoiy xodimlar milliy assotsiatsiyasi (NASW) ijtimoiy xodimlar kasbiy tashkiloti. NASW o'z a'zolari va umuman ijtimoiy xodimlar uchun so'nggi axborot va boshqa resurslarni olish, tadqiq qilishni ta'minlaydi.</w:t>
      </w:r>
    </w:p>
    <w:p>
      <w:pPr>
        <w:pStyle w:val="style0"/>
        <w:widowControl w:val="false"/>
        <w:spacing w:after="0" w:lineRule="auto" w:line="276"/>
        <w:ind w:firstLine="720"/>
        <w:jc w:val="both"/>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val="en-US" w:eastAsia="ru-RU"/>
        </w:rPr>
        <w:t>AQSh ijtimoiy xodimlar milliy assotsiatsiyasi o'z siyosatini amalga oshirishda asosiy tamoyil sifatida inson huquqlarini olib, ijtimoiy xizmat nazariyasi va amaliyoti shunday tuziladi: «insonlarning fuqarolik, madaniy, siyosiy, ijtimoiy va iqtisodiy ehtiyojlarini ta'minlashda jamiyatning javobgarligi to'g'risida masala ko'tarilganda ijtimoiy xodimlar ularni bajara olishlariga ishonchi komil bo'lishi kerak.» (NASW 2000:181). Ijtimoiy xodim insonlar bilan noinsoniy munosabatlarning har qanday shakliga qarshi turishi lozim»</w:t>
      </w:r>
    </w:p>
    <w:p>
      <w:pPr>
        <w:pStyle w:val="style0"/>
        <w:widowControl w:val="false"/>
        <w:spacing w:after="0" w:lineRule="auto" w:line="276"/>
        <w:jc w:val="center"/>
        <w:rPr>
          <w:rFonts w:ascii="Times New Roman" w:cs="Times New Roman" w:eastAsia="Times New Roman" w:hAnsi="Times New Roman"/>
          <w:sz w:val="32"/>
          <w:szCs w:val="32"/>
          <w:lang w:eastAsia="ru-RU"/>
        </w:rPr>
      </w:pPr>
      <w:r>
        <w:rPr>
          <w:rFonts w:ascii="Times New Roman" w:cs="Times New Roman" w:eastAsia="Times New Roman" w:hAnsi="Times New Roman"/>
          <w:b/>
          <w:bCs/>
          <w:color w:val="000000"/>
          <w:sz w:val="32"/>
          <w:szCs w:val="32"/>
          <w:lang w:eastAsia="ru-RU"/>
        </w:rPr>
        <w:t>Nazorat savollari</w:t>
      </w:r>
    </w:p>
    <w:p>
      <w:pPr>
        <w:pStyle w:val="style0"/>
        <w:widowControl w:val="false"/>
        <w:numPr>
          <w:ilvl w:val="0"/>
          <w:numId w:val="2"/>
        </w:numPr>
        <w:tabs>
          <w:tab w:val="left" w:leader="none" w:pos="818"/>
        </w:tabs>
        <w:spacing w:after="0" w:lineRule="auto" w:line="276"/>
        <w:jc w:val="both"/>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val="en-US" w:eastAsia="ru-RU"/>
        </w:rPr>
        <w:t>Ijtimoiy ishda professionalizm deganda nimani tushunasiz?</w:t>
      </w:r>
    </w:p>
    <w:p>
      <w:pPr>
        <w:pStyle w:val="style0"/>
        <w:widowControl w:val="false"/>
        <w:numPr>
          <w:ilvl w:val="0"/>
          <w:numId w:val="2"/>
        </w:numPr>
        <w:tabs>
          <w:tab w:val="left" w:leader="none" w:pos="846"/>
        </w:tabs>
        <w:spacing w:after="0" w:lineRule="auto" w:line="276"/>
        <w:jc w:val="both"/>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val="en-US" w:eastAsia="ru-RU"/>
        </w:rPr>
        <w:t>Ijtimoiy xodimlar xalqaro federatsiyasi haqida nimalar bilasiz?</w:t>
      </w:r>
    </w:p>
    <w:p>
      <w:pPr>
        <w:pStyle w:val="style0"/>
        <w:widowControl w:val="false"/>
        <w:numPr>
          <w:ilvl w:val="0"/>
          <w:numId w:val="2"/>
        </w:numPr>
        <w:tabs>
          <w:tab w:val="left" w:leader="none" w:pos="842"/>
        </w:tabs>
        <w:spacing w:after="0" w:lineRule="auto" w:line="276"/>
        <w:jc w:val="both"/>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val="en-US" w:eastAsia="ru-RU"/>
        </w:rPr>
        <w:t>Ijtimoiy xizmat maktablari xalqaro assotsiatsiyasi (IXMXA).</w:t>
      </w:r>
    </w:p>
    <w:p>
      <w:pPr>
        <w:pStyle w:val="style0"/>
        <w:widowControl w:val="false"/>
        <w:numPr>
          <w:ilvl w:val="0"/>
          <w:numId w:val="2"/>
        </w:numPr>
        <w:tabs>
          <w:tab w:val="left" w:leader="none" w:pos="846"/>
        </w:tabs>
        <w:spacing w:after="0" w:lineRule="auto" w:line="276"/>
        <w:jc w:val="both"/>
        <w:rPr>
          <w:rFonts w:ascii="Times New Roman" w:cs="Times New Roman" w:eastAsia="Times New Roman" w:hAnsi="Times New Roman"/>
          <w:sz w:val="32"/>
          <w:szCs w:val="32"/>
          <w:lang w:eastAsia="ru-RU"/>
        </w:rPr>
      </w:pPr>
      <w:r>
        <w:rPr>
          <w:rFonts w:ascii="Times New Roman" w:cs="Times New Roman" w:eastAsia="Times New Roman" w:hAnsi="Times New Roman"/>
          <w:color w:val="000000"/>
          <w:sz w:val="32"/>
          <w:szCs w:val="32"/>
          <w:lang w:eastAsia="ru-RU"/>
        </w:rPr>
        <w:t>AQSh ijtimoiy xodimlari professional assotsiatsiyasi</w:t>
      </w:r>
    </w:p>
    <w:p>
      <w:pPr>
        <w:pStyle w:val="style0"/>
        <w:widowControl w:val="false"/>
        <w:numPr>
          <w:ilvl w:val="0"/>
          <w:numId w:val="2"/>
        </w:numPr>
        <w:tabs>
          <w:tab w:val="left" w:leader="none" w:pos="832"/>
        </w:tabs>
        <w:spacing w:after="0" w:lineRule="auto" w:line="276"/>
        <w:jc w:val="both"/>
        <w:rPr>
          <w:rFonts w:ascii="Times New Roman" w:cs="Times New Roman" w:eastAsia="Times New Roman" w:hAnsi="Times New Roman"/>
          <w:sz w:val="32"/>
          <w:szCs w:val="32"/>
          <w:lang w:eastAsia="ru-RU"/>
        </w:rPr>
      </w:pPr>
      <w:r>
        <w:rPr>
          <w:rFonts w:ascii="Times New Roman" w:cs="Times New Roman" w:eastAsia="Times New Roman" w:hAnsi="Times New Roman"/>
          <w:color w:val="000000"/>
          <w:sz w:val="32"/>
          <w:szCs w:val="32"/>
          <w:lang w:eastAsia="ru-RU"/>
        </w:rPr>
        <w:t>Etika masalalarida xabardorlik bu...</w:t>
      </w:r>
    </w:p>
    <w:p>
      <w:pPr>
        <w:pStyle w:val="style0"/>
        <w:widowControl w:val="false"/>
        <w:numPr>
          <w:ilvl w:val="0"/>
          <w:numId w:val="2"/>
        </w:numPr>
        <w:tabs>
          <w:tab w:val="left" w:leader="none" w:pos="782"/>
        </w:tabs>
        <w:spacing w:after="380" w:lineRule="auto" w:line="276"/>
        <w:rPr>
          <w:rFonts w:ascii="Times New Roman" w:cs="Times New Roman" w:eastAsia="Times New Roman" w:hAnsi="Times New Roman"/>
          <w:sz w:val="32"/>
          <w:szCs w:val="32"/>
          <w:lang w:val="en-US" w:eastAsia="ru-RU"/>
        </w:rPr>
      </w:pPr>
      <w:r>
        <w:rPr>
          <w:rFonts w:ascii="Times New Roman" w:cs="Times New Roman" w:eastAsia="Times New Roman" w:hAnsi="Times New Roman"/>
          <w:color w:val="000000"/>
          <w:sz w:val="32"/>
          <w:szCs w:val="32"/>
          <w:lang w:val="en-US" w:eastAsia="ru-RU"/>
        </w:rPr>
        <w:t>«Ijtimoiy xodimning axloq kodeksi» ning bosh maqsadi nima?</w:t>
      </w:r>
    </w:p>
    <w:p>
      <w:pPr>
        <w:pStyle w:val="style0"/>
        <w:widowControl w:val="false"/>
        <w:spacing w:after="800" w:lineRule="auto" w:line="276"/>
        <w:ind w:left="380" w:firstLine="20"/>
        <w:jc w:val="both"/>
        <w:rPr>
          <w:rFonts w:ascii="Times New Roman" w:cs="Times New Roman" w:eastAsia="Times New Roman" w:hAnsi="Times New Roman"/>
          <w:color w:val="000000"/>
          <w:sz w:val="32"/>
          <w:szCs w:val="32"/>
          <w:lang w:val="en-US" w:eastAsia="ru-RU"/>
        </w:rPr>
      </w:pPr>
      <w:r>
        <w:rPr>
          <w:rFonts w:ascii="Times New Roman" w:cs="Times New Roman" w:eastAsia="Times New Roman" w:hAnsi="Times New Roman"/>
          <w:b/>
          <w:bCs/>
          <w:color w:val="000000"/>
          <w:sz w:val="32"/>
          <w:szCs w:val="32"/>
          <w:lang w:val="en-US" w:eastAsia="ru-RU"/>
        </w:rPr>
        <w:t xml:space="preserve">Tayanch tushunchalar: </w:t>
      </w:r>
      <w:r>
        <w:rPr>
          <w:rFonts w:ascii="Times New Roman" w:cs="Times New Roman" w:eastAsia="Times New Roman" w:hAnsi="Times New Roman"/>
          <w:color w:val="000000"/>
          <w:sz w:val="32"/>
          <w:szCs w:val="32"/>
          <w:lang w:val="en-US" w:eastAsia="ru-RU"/>
        </w:rPr>
        <w:t>professionalizm, xalqaro federatsiya, xalqaro assotsiatsiya, “Ijtimoiy xodimning axloq kodeksi”, milliy assotsiatsiya, etika.</w:t>
      </w:r>
      <w:bookmarkStart w:id="0" w:name="_GoBack"/>
      <w:bookmarkEnd w:id="0"/>
    </w:p>
    <w:p>
      <w:pPr>
        <w:pStyle w:val="style0"/>
        <w:rPr>
          <w:lang w:val="en-US"/>
        </w:rPr>
      </w:pPr>
    </w:p>
    <w:sectPr>
      <w:pgSz w:w="11906" w:h="16838" w:orient="portrait"/>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cc"/>
    <w:family w:val="roman"/>
    <w:pitch w:val="variable"/>
    <w:sig w:usb0="E0002EFF" w:usb1="C0007843" w:usb2="00000009" w:usb3="00000000" w:csb0="000001FF" w:csb1="00000000"/>
  </w:font>
  <w:font w:name="Calibri">
    <w:altName w:val="Calibri"/>
    <w:panose1 w:val="020f0502020002030204"/>
    <w:charset w:val="cc"/>
    <w:family w:val="swiss"/>
    <w:pitch w:val="variable"/>
    <w:sig w:usb0="E00002FF" w:usb1="4000ACFF" w:usb2="00000001" w:usb3="00000000" w:csb0="0000019F" w:csb1="00000000"/>
  </w:font>
  <w:font w:name="Calibri Light">
    <w:altName w:val="Calibri Light"/>
    <w:panose1 w:val="020f0302020002030204"/>
    <w:charset w:val="cc"/>
    <w:family w:val="swiss"/>
    <w:pitch w:val="variable"/>
    <w:sig w:usb0="A00002EF" w:usb1="4000207B" w:usb2="00000000" w:usb3="00000000" w:csb0="0000019F" w:csb1="00000000"/>
  </w:font>
</w:fonts>
</file>

<file path=word/footnotes.xml><?xml version="1.0" encoding="utf-8"?>
<w:footnotes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footnote w:id="1">
    <w:p>
      <w:pPr>
        <w:pStyle w:val="style0"/>
        <w:rPr>
          <w:lang w:val="en-US"/>
        </w:rPr>
      </w:pPr>
      <w:r>
        <w:rPr>
          <w:rFonts w:cs="Calibri"/>
          <w:color w:val="000000"/>
          <w:sz w:val="13"/>
          <w:szCs w:val="13"/>
          <w:vertAlign w:val="superscript"/>
        </w:rPr>
        <w:footnoteRef/>
      </w:r>
      <w:r>
        <w:rPr>
          <w:rFonts w:cs="Calibri"/>
          <w:color w:val="000000"/>
          <w:sz w:val="13"/>
          <w:szCs w:val="13"/>
          <w:lang w:val="en-US"/>
        </w:rPr>
        <w:t xml:space="preserve"> </w:t>
      </w:r>
      <w:r>
        <w:rPr>
          <w:color w:val="000000"/>
          <w:lang w:val="en-US"/>
        </w:rPr>
        <w:t>G’anieva M.X. Ijtimoiy ishga kirish. - Toshkent: CHASHMA PRINT, 2010.</w:t>
      </w:r>
    </w:p>
    <w:bookmarkStart w:id="1" w:name="bookmark41"/>
  </w:footnote>
  <w:footnote w:id="2">
    <w:p>
      <w:pPr>
        <w:pStyle w:val="style4098"/>
        <w:rPr>
          <w:lang w:val="en-US"/>
        </w:rPr>
      </w:pPr>
      <w:r>
        <w:rPr>
          <w:rFonts w:ascii="Calibri" w:cs="Calibri" w:eastAsia="Calibri" w:hAnsi="Calibri"/>
          <w:color w:val="000000"/>
          <w:sz w:val="13"/>
          <w:szCs w:val="13"/>
          <w:vertAlign w:val="superscript"/>
        </w:rPr>
        <w:footnoteRef/>
      </w:r>
      <w:r>
        <w:rPr>
          <w:rFonts w:ascii="Calibri" w:cs="Calibri" w:eastAsia="Calibri" w:hAnsi="Calibri"/>
          <w:color w:val="000000"/>
          <w:sz w:val="13"/>
          <w:szCs w:val="13"/>
          <w:lang w:val="en-US"/>
        </w:rPr>
        <w:t xml:space="preserve"> </w:t>
      </w:r>
      <w:r>
        <w:rPr/>
        <w:fldChar w:fldCharType="begin"/>
      </w:r>
      <w:r>
        <w:instrText xml:space="preserve"> HYPERLINK "https://tahobaza.ru/uz/kodeksy-professionalnoi-etiki-i-ih-harakteristika-kratko-vidy/" </w:instrText>
      </w:r>
      <w:r>
        <w:rPr/>
        <w:fldChar w:fldCharType="separate"/>
      </w:r>
      <w:r>
        <w:rPr>
          <w:color w:val="000000"/>
          <w:lang w:val="en-US"/>
        </w:rPr>
        <w:t>https://tahobaza.ru/uz/kodeksy-professionalnoi-etiki-i-ih-harakteristika-kratko-vidy/</w:t>
      </w:r>
      <w:bookmarkEnd w:id="1"/>
      <w:r>
        <w:rPr/>
        <w:fldChar w:fldCharType="end"/>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6E6A5D28"/>
    <w:lvl w:ilvl="0">
      <w:start w:val="1"/>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abstractNum w:abstractNumId="1">
    <w:nsid w:val="00000001"/>
    <w:multiLevelType w:val="multilevel"/>
    <w:tmpl w:val="A04AC56C"/>
    <w:lvl w:ilvl="0">
      <w:start w:val="1"/>
      <w:numFmt w:val="decimal"/>
      <w:lvlText w:val="%1."/>
      <w:lvlJc w:val="left"/>
      <w:pPr/>
      <w:rPr>
        <w:rFonts w:ascii="Times New Roman" w:cs="Times New Roman" w:eastAsia="Times New Roman" w:hAnsi="Times New Roman"/>
        <w:b w:val="false"/>
        <w:bCs w:val="false"/>
        <w:i w:val="false"/>
        <w:iCs w:val="false"/>
        <w:smallCaps w:val="false"/>
        <w:color w:val="000000"/>
        <w:spacing w:val="0"/>
        <w:w w:val="100"/>
        <w:position w:val="0"/>
        <w:sz w:val="32"/>
        <w:szCs w:val="32"/>
        <w:u w:val="none"/>
        <w:shd w:val="clear" w:color="auto" w:fill="auto"/>
      </w:rPr>
    </w:lvl>
    <w:lvl w:ilvl="1">
      <w:start w:val="1"/>
      <w:numFmt w:val="decimal"/>
      <w:lvlText w:val=""/>
      <w:lvlJc w:val="left"/>
      <w:pPr/>
    </w:lvl>
    <w:lvl w:ilvl="2">
      <w:start w:val="1"/>
      <w:numFmt w:val="decimal"/>
      <w:lvlText w:val=""/>
      <w:lvlJc w:val="left"/>
      <w:pPr/>
    </w:lvl>
    <w:lvl w:ilvl="3">
      <w:start w:val="1"/>
      <w:numFmt w:val="decimal"/>
      <w:lvlText w:val=""/>
      <w:lvlJc w:val="left"/>
      <w:pPr/>
    </w:lvl>
    <w:lvl w:ilvl="4">
      <w:start w:val="1"/>
      <w:numFmt w:val="decimal"/>
      <w:lvlText w:val=""/>
      <w:lvlJc w:val="left"/>
      <w:pPr/>
    </w:lvl>
    <w:lvl w:ilvl="5">
      <w:start w:val="1"/>
      <w:numFmt w:val="decimal"/>
      <w:lvlText w:val=""/>
      <w:lvlJc w:val="left"/>
      <w:pPr/>
    </w:lvl>
    <w:lvl w:ilvl="6">
      <w:start w:val="1"/>
      <w:numFmt w:val="decimal"/>
      <w:lvlText w:val=""/>
      <w:lvlJc w:val="left"/>
      <w:pPr/>
    </w:lvl>
    <w:lvl w:ilvl="7">
      <w:start w:val="1"/>
      <w:numFmt w:val="decimal"/>
      <w:lvlText w:val=""/>
      <w:lvlJc w:val="left"/>
      <w:pPr/>
    </w:lvl>
    <w:lvl w:ilvl="8">
      <w:start w:val="1"/>
      <w:numFmt w:val="decimal"/>
      <w:lvlText w:val=""/>
      <w:lvlJc w:val="left"/>
      <w:pPr/>
    </w:lvl>
  </w:abstractNum>
  <w:num w:numId="1">
    <w:abstractNumId w:val="1"/>
  </w:num>
  <w:num w:numId="2">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ru-RU"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Сноска_"/>
    <w:next w:val="style4097"/>
    <w:link w:val="style4098"/>
    <w:rPr>
      <w:rFonts w:ascii="Times New Roman" w:eastAsia="Times New Roman" w:hAnsi="Times New Roman"/>
    </w:rPr>
  </w:style>
  <w:style w:type="paragraph" w:customStyle="1" w:styleId="style4098">
    <w:name w:val="Сноска"/>
    <w:basedOn w:val="style0"/>
    <w:next w:val="style4098"/>
    <w:link w:val="style4097"/>
    <w:pPr>
      <w:widowControl w:val="false"/>
      <w:spacing w:after="0" w:lineRule="auto" w:line="240"/>
    </w:pPr>
    <w:rPr>
      <w:rFonts w:ascii="Times New Roman" w:eastAsia="Times New Roman" w:hAnsi="Times New Roma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notes" Target="footnotes.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1170</Words>
  <Pages>5</Pages>
  <Characters>9268</Characters>
  <Application>WPS Office</Application>
  <DocSecurity>0</DocSecurity>
  <Paragraphs>28</Paragraphs>
  <ScaleCrop>false</ScaleCrop>
  <LinksUpToDate>false</LinksUpToDate>
  <CharactersWithSpaces>10415</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2026-01-06T13:31:00Z</dcterms:created>
  <dc:creator>Samsung</dc:creator>
  <lastModifiedBy>BTK-W09</lastModifiedBy>
  <dcterms:modified xsi:type="dcterms:W3CDTF">2026-01-06T14:05:24Z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9fc01679da77403ca885a853515664cf</vt:lpwstr>
  </property>
</Properties>
</file>