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keepLines/>
        <w:widowControl w:val="false"/>
        <w:spacing w:after="0" w:lineRule="auto" w:line="276"/>
        <w:jc w:val="center"/>
        <w:outlineLvl w:val="0"/>
        <w:rPr>
          <w:rFonts w:ascii="Times New Roman" w:cs="Times New Roman" w:eastAsia="Times New Roman" w:hAnsi="Times New Roman"/>
          <w:b/>
          <w:bCs/>
          <w:color w:val="000000"/>
          <w:sz w:val="32"/>
          <w:szCs w:val="32"/>
          <w:lang w:eastAsia="ru-RU"/>
        </w:rPr>
      </w:pPr>
      <w:bookmarkStart w:id="0" w:name="bookmark91"/>
      <w:bookmarkStart w:id="1" w:name="bookmark90"/>
      <w:r>
        <w:rPr>
          <w:rFonts w:ascii="Times New Roman" w:cs="Times New Roman" w:eastAsia="Times New Roman" w:hAnsi="Times New Roman"/>
          <w:b/>
          <w:bCs/>
          <w:color w:val="000000"/>
          <w:sz w:val="32"/>
          <w:szCs w:val="32"/>
          <w:lang w:val="en-US" w:eastAsia="ru-RU"/>
        </w:rPr>
        <w:t>9-mavzu. Teng huquqlar va teng imkoniyatlar siyosati.</w:t>
      </w:r>
      <w:r>
        <w:rPr>
          <w:rFonts w:ascii="Times New Roman" w:cs="Times New Roman" w:eastAsia="Times New Roman" w:hAnsi="Times New Roman"/>
          <w:b/>
          <w:bCs/>
          <w:color w:val="000000"/>
          <w:sz w:val="32"/>
          <w:szCs w:val="32"/>
          <w:lang w:val="en-US" w:eastAsia="ru-RU"/>
        </w:rPr>
        <w:br/>
      </w:r>
      <w:r>
        <w:rPr>
          <w:rFonts w:ascii="Times New Roman" w:cs="Times New Roman" w:eastAsia="Times New Roman" w:hAnsi="Times New Roman"/>
          <w:b/>
          <w:bCs/>
          <w:color w:val="000000"/>
          <w:sz w:val="32"/>
          <w:szCs w:val="32"/>
          <w:lang w:eastAsia="ru-RU"/>
        </w:rPr>
        <w:t>Reja:</w:t>
      </w:r>
      <w:bookmarkEnd w:id="0"/>
      <w:bookmarkEnd w:id="1"/>
    </w:p>
    <w:p>
      <w:pPr>
        <w:pStyle w:val="style0"/>
        <w:widowControl w:val="false"/>
        <w:numPr>
          <w:ilvl w:val="0"/>
          <w:numId w:val="1"/>
        </w:numPr>
        <w:tabs>
          <w:tab w:val="left" w:leader="none" w:pos="758"/>
        </w:tabs>
        <w:spacing w:after="0" w:lineRule="auto" w:line="276"/>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ishda inson huquqlariga rioya qilish.</w:t>
      </w:r>
    </w:p>
    <w:p>
      <w:pPr>
        <w:pStyle w:val="style0"/>
        <w:widowControl w:val="false"/>
        <w:numPr>
          <w:ilvl w:val="0"/>
          <w:numId w:val="1"/>
        </w:numPr>
        <w:tabs>
          <w:tab w:val="left" w:leader="none" w:pos="791"/>
        </w:tabs>
        <w:spacing w:after="0" w:lineRule="auto" w:line="276"/>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ishda asosiy asosiy intervensiyalar.</w:t>
      </w:r>
    </w:p>
    <w:p>
      <w:pPr>
        <w:pStyle w:val="style0"/>
        <w:widowControl w:val="false"/>
        <w:numPr>
          <w:ilvl w:val="0"/>
          <w:numId w:val="1"/>
        </w:numPr>
        <w:tabs>
          <w:tab w:val="left" w:leader="none" w:pos="786"/>
        </w:tabs>
        <w:spacing w:after="0" w:lineRule="auto" w:line="276"/>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AQShda gender tengligi siyosati mexanizmi</w:t>
      </w:r>
    </w:p>
    <w:p>
      <w:pPr>
        <w:pStyle w:val="style0"/>
        <w:widowControl w:val="false"/>
        <w:numPr>
          <w:ilvl w:val="0"/>
          <w:numId w:val="1"/>
        </w:numPr>
        <w:tabs>
          <w:tab w:val="left" w:leader="none" w:pos="796"/>
        </w:tabs>
        <w:spacing w:after="0" w:lineRule="auto" w:line="276"/>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Bandlik sohasidagi tenglik</w:t>
      </w:r>
    </w:p>
    <w:p>
      <w:pPr>
        <w:pStyle w:val="style0"/>
        <w:widowControl w:val="false"/>
        <w:numPr>
          <w:ilvl w:val="0"/>
          <w:numId w:val="1"/>
        </w:numPr>
        <w:tabs>
          <w:tab w:val="left" w:leader="none" w:pos="786"/>
        </w:tabs>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Ta’lim huquqi</w:t>
      </w:r>
    </w:p>
    <w:p>
      <w:pPr>
        <w:pStyle w:val="style0"/>
        <w:widowControl w:val="false"/>
        <w:tabs>
          <w:tab w:val="left" w:leader="none" w:pos="786"/>
        </w:tabs>
        <w:spacing w:after="0" w:lineRule="auto" w:line="276"/>
        <w:ind w:left="380"/>
        <w:jc w:val="both"/>
        <w:rPr>
          <w:rFonts w:ascii="Times New Roman" w:cs="Times New Roman" w:eastAsia="Times New Roman" w:hAnsi="Times New Roman"/>
          <w:color w:val="000000"/>
          <w:sz w:val="32"/>
          <w:szCs w:val="32"/>
          <w:lang w:eastAsia="ru-RU"/>
        </w:rPr>
      </w:pPr>
    </w:p>
    <w:p>
      <w:pPr>
        <w:pStyle w:val="style0"/>
        <w:widowControl w:val="false"/>
        <w:spacing w:after="0" w:lineRule="auto" w:line="276"/>
        <w:ind w:firstLine="600"/>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Hukumat va boshqaruv tashkilotlar qo‘llab-quvvatlamagan holda inson huquqlarining u yoki bu siyosatni o‘tkazish jarayoniga va kundalik hayotining amaliy vazifalarini hal etishga kiritilishida real olg‘a harakatlanish amalda mumkin bo‘lmaydi. Lekin o‘z amaliy ishida inson huquqlarini amalga oshirsh uchun ijtimoiy xodimlar bilim o‘z- o‘zidan inson huquqlariga rioya qilish uchun asboblarni etkazib bermasligi va mexanizmini ta’minlamasligini tushunishi kerak. Inson huquqlari mavzuida qo‘llanadigan atamalar va tushunchalar haqida maxsus bilimlarni egallashdan tashqari, ijtimoiy xodimlar inson huquqlari tushunchasini amaliyotgan qanday o‘tkazish kerakligini bilishlari lozim. Buning uchun huqumat tashkilotlarining ishlashini tushunish, mijozlarini tushunish va ijtimoiy ishlarning konsepsiyasini aniq bilish kerak.</w:t>
      </w:r>
    </w:p>
    <w:p>
      <w:pPr>
        <w:pStyle w:val="style0"/>
        <w:widowControl w:val="false"/>
        <w:spacing w:after="0" w:lineRule="auto" w:line="276"/>
        <w:ind w:firstLine="6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eastAsia="ru-RU"/>
        </w:rPr>
        <w:t xml:space="preserve">Ijtimoiy xodimlar bolalar mehnatining ekspluatatsiyasi, bolalar prostitutsiyasi, bolalar bilan qattiqqo‘l muomala bilan bog‘liq bo‘lgan boshqa jinoyatlar turlari kabi muammolar yuzasidan ayniqsa faol bo‘lishi lozim. </w:t>
      </w:r>
      <w:r>
        <w:rPr>
          <w:rFonts w:ascii="Times New Roman" w:cs="Times New Roman" w:eastAsia="Times New Roman" w:hAnsi="Times New Roman"/>
          <w:color w:val="000000"/>
          <w:sz w:val="32"/>
          <w:szCs w:val="32"/>
          <w:lang w:val="en-US" w:eastAsia="ru-RU"/>
        </w:rPr>
        <w:t xml:space="preserve">Ular jamiyatning e’tiborini bunday turdagi muammolarga tortishda birinchi bo‘lib chiqishi lozim. Ijtimoiy xodimlar aholining zaif guruhlari huquqlarini himoya qilishi hamda inson huquqlariga rioya qilish imkoniyatini yo‘q qiluvchi tmutaassiblik, murosasizlik va nafrat siyosati va amaliyotini qoralashi lozim. Bu turdagi inson huquqlari buzilishiga insonlarni irqiy, etnik, jinsiy belgisiga ko‘ra ta’qib etilishi, jinsiy kamchilik toifalarini ta’qib etish, keksa kishilar, nogironlar, emigrantlarning tahqirlanishi va hokazolar misol bo‘la oladi. Ijtimoiy ishlash gumanitar va demokratik g‘oyalar zaminida qaror topgan, ularga amal qilish esa uni tahqirlashga va resurslarni adolatsiz tarqatishga qarshi kurashga da’vat etadi. Adolatsizlikka qarshi harakat va demokratik </w:t>
      </w:r>
      <w:r>
        <w:rPr>
          <w:rFonts w:ascii="Times New Roman" w:cs="Times New Roman" w:eastAsia="Times New Roman" w:hAnsi="Times New Roman"/>
          <w:color w:val="000000"/>
          <w:sz w:val="32"/>
          <w:szCs w:val="32"/>
          <w:lang w:val="en-US" w:eastAsia="ru-RU"/>
        </w:rPr>
        <w:t>g‘oyalarning olg‘a surilishi bo‘lgan ushbu asosiy jihatlari bugungi kunda ijtimoiy xodimning ma’naviy kodeksining (NASW 1996) bir qismini tashkil etadi. Ijtimoiy ishlash ham insonga (yoki insonlar guruhiga), ham uning atrof muhitiga qaratiladi, bunda atrof muhit inson ehtiyojlarini qondirishda asosiy o‘rin tutishi tan olinadi (Compton va Galaway 1994; Kirst-Ashman va Hull 1993; Germain va Gitterman 1996). Ijtimoiy xodimlar nafaqat alohida kishilarga yordam berishga urinadi, balki ular kengroq global darajada o‘zgartirishlarni hosil qilishga harakat qiladi (Goldstein 1992). Bu ikkita maqsadga qaratilishi ijtimoiy xodimning kasbini boshqa psixologiya va tibbiyot kabi yordam beruvchi kasblardan farqlab turadi, chunki ular inson ehtiyojlari bilan ishlaydigan bo‘lsa-da, bu ehtiyojlarni hal etishda tashqi ta’sirlarga ham ta’sir etish imkoniyatiga ega bo‘lmaydi. Ijtimoiy ishlash aholining zaif guruhlariga va boshqa muhtojlarga yordam berishga qaratilgani uchun, unda intervensiyalar ishlab chiqilgan, bu intervensiyalar inson huquqlari sohasi bilan yaqindan boshliq. Ijtimoiy ishlarda ijtimoiy xodimlar uchun turli intervensiyalar ishlab chiqilgan bo‘lib, ular bu kasbning ikkita maqsadini qo‘llab-quvvatlashga yordam beradi: ayrim kishilarga yordam berish va global o‘zgarishlarga intilish. Bu intervensiyalar zulmga qarshi harakatlar, imkoniyatlarning berilishi, kuchli jihatlar istiqbollarini o‘z ichiga oladi. Bu intervensiyalarni tushunish orqali ijtimoiy xodimlar o‘z kasbining inson huquqlari ga bog‘liqligini yaxshiroq aniqlashi mumkin.</w:t>
      </w:r>
    </w:p>
    <w:p>
      <w:pPr>
        <w:pStyle w:val="style0"/>
        <w:widowControl w:val="false"/>
        <w:spacing w:after="0" w:lineRule="auto" w:line="276"/>
        <w:ind w:firstLine="5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Zulmga (tahqirlashga) qarshi harakatlar</w:t>
      </w:r>
      <w:r>
        <w:rPr>
          <w:rFonts w:ascii="Times New Roman" w:cs="Times New Roman" w:eastAsia="Times New Roman" w:hAnsi="Times New Roman"/>
          <w:color w:val="000000"/>
          <w:sz w:val="32"/>
          <w:szCs w:val="32"/>
          <w:lang w:val="en-US" w:eastAsia="ru-RU"/>
        </w:rPr>
        <w:t>. Zulmga qarshi harakatlar inson huquqlarining amalga oshirilishi bilan uzviy bog‘liq. Umuminsoniy va demokratik ideallar hokimiyatning teng taqsimlanmasligidan kelib chiqadigan zulmni qoralaydi. Zulmni kamaytirish uchun kurashda ijtimoiy xodimlar so‘zsiz inson huquqlari rivojlanishining tarafdori bo‘ladi.</w:t>
      </w:r>
    </w:p>
    <w:p>
      <w:pPr>
        <w:pStyle w:val="style0"/>
        <w:widowControl w:val="false"/>
        <w:spacing w:after="0" w:lineRule="auto" w:line="276"/>
        <w:ind w:firstLine="5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Imkoniyatlarning taqsimlanishi.</w:t>
      </w:r>
      <w:r>
        <w:rPr>
          <w:rFonts w:ascii="Times New Roman" w:cs="Times New Roman" w:eastAsia="Times New Roman" w:hAnsi="Times New Roman"/>
          <w:color w:val="000000"/>
          <w:sz w:val="32"/>
          <w:szCs w:val="32"/>
          <w:lang w:val="en-US" w:eastAsia="ru-RU"/>
        </w:rPr>
        <w:t xml:space="preserve"> Ijtimoiy xodimlar qo‘llaydigan va inson huquqlari bilan bog‘liq bo‘lgan intervensiyaning boshqa turi - imkoniyatlarning berilishidir. Intervensiyaning bu turi etnik, sinfiy mansudligi, yoshi, kelib chiqishi, dini va jinsiy e’tiboriga bog‘iq holda turlicha munosabatda bo‘lishga ta’sir ko‘rsatadigan holatlani o‘rganadi.</w:t>
      </w:r>
    </w:p>
    <w:p>
      <w:pPr>
        <w:pStyle w:val="style0"/>
        <w:widowControl w:val="false"/>
        <w:spacing w:after="0" w:lineRule="auto" w:line="276"/>
        <w:ind w:firstLine="5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Kuchli taraflar istiqbollari</w:t>
      </w:r>
      <w:r>
        <w:rPr>
          <w:rFonts w:ascii="Times New Roman" w:cs="Times New Roman" w:eastAsia="Times New Roman" w:hAnsi="Times New Roman"/>
          <w:color w:val="000000"/>
          <w:sz w:val="32"/>
          <w:szCs w:val="32"/>
          <w:lang w:val="en-US" w:eastAsia="ru-RU"/>
        </w:rPr>
        <w:t xml:space="preserve">. Kuchli jihatlar istiqbollari bilanishlash </w:t>
      </w:r>
      <w:r>
        <w:rPr>
          <w:rFonts w:ascii="Times New Roman" w:cs="Times New Roman" w:eastAsia="Times New Roman" w:hAnsi="Times New Roman"/>
          <w:color w:val="000000"/>
          <w:sz w:val="32"/>
          <w:szCs w:val="32"/>
          <w:lang w:val="en-US" w:eastAsia="ru-RU"/>
        </w:rPr>
        <w:t>inson huquqlari bilan bog‘liq bo‘lgan ijtimoiy ishlarda intervensiyaning boshqa turi hisoblanadi. Bu holda insonning yoki guruhning kuchli, ijobiy jihatlari mijoz bilan unga yordam berishga qaratilgan munosabatning markaziy jihatidir, deb ta’kidlanadi.</w:t>
      </w:r>
    </w:p>
    <w:p>
      <w:pPr>
        <w:pStyle w:val="style0"/>
        <w:widowControl w:val="false"/>
        <w:spacing w:after="0" w:lineRule="auto" w:line="276"/>
        <w:ind w:firstLine="580"/>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i/>
          <w:iCs/>
          <w:color w:val="000000"/>
          <w:sz w:val="32"/>
          <w:szCs w:val="32"/>
          <w:lang w:eastAsia="ru-RU"/>
        </w:rPr>
        <w:t>Madaniy bilimdonlik.</w:t>
      </w:r>
      <w:r>
        <w:rPr>
          <w:rFonts w:ascii="Times New Roman" w:cs="Times New Roman" w:eastAsia="Times New Roman" w:hAnsi="Times New Roman"/>
          <w:color w:val="000000"/>
          <w:sz w:val="32"/>
          <w:szCs w:val="32"/>
          <w:lang w:eastAsia="ru-RU"/>
        </w:rPr>
        <w:t xml:space="preserve"> Madaniy bilimdonlik turli xurofotlar - egotsentrizm, seksizm, sinfiy xurofotlar, geteroseksizm va irqchilikni tushunish hg‘amda jamiyat umuman olganda bu xurofotlarga ega ekanligi va ko‘pincha ularning asosida ish tutishini tushunishni o‘z ichiga oladi. Intervensiyaning bu turi ijtimoiy xodimdan mijoz madaniyatini, shu jumladan u foydalanadigan madaniy me’yorlar, so‘z boyligi, belgi-ramzlarni hamda mijozning ijobiy jig‘atlarini o‘rganishni talab etadi.</w:t>
      </w:r>
    </w:p>
    <w:p>
      <w:pPr>
        <w:pStyle w:val="style0"/>
        <w:widowControl w:val="false"/>
        <w:spacing w:after="0" w:lineRule="auto" w:line="276"/>
        <w:ind w:firstLine="5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eastAsia="ru-RU"/>
        </w:rPr>
        <w:t xml:space="preserve">Intervensiyalar ijtimoiy ishlarda ushbu ijtimoiy ishlash kasbiva inson huquqlari orasidagi bog‘lanishni ta’minlaydigan eng muhim asbob hisoblanadi. </w:t>
      </w:r>
      <w:r>
        <w:rPr>
          <w:rFonts w:ascii="Times New Roman" w:cs="Times New Roman" w:eastAsia="Times New Roman" w:hAnsi="Times New Roman"/>
          <w:color w:val="000000"/>
          <w:sz w:val="32"/>
          <w:szCs w:val="32"/>
          <w:lang w:val="en-US" w:eastAsia="ru-RU"/>
        </w:rPr>
        <w:t>Yuqoridagi intervensiyalar inson huquqlariga rioya qilishga yordam beradigan yagona asbob emas. Barcha intervensiyalar inson huquqlariga amalda rioya qilish usullariga yuzlanadi.</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G‘arb davlatlarining jinsiy siyosatida radikal o‘zgarishlar 1960- yillarda, ayollar harakatining ikkinchi to‘lqini ta’sirida boshlangan. Teng huquqlar va teng imkoniyatlarni ta’minlash yuzasidan ta’sirchan davlat mexanizmining yaratilishi ayollarning barcha hayotiy faoliyat sohalaridagi maqomi jiddiy ortishini ta’minladi. Oxirgi o‘ttiz yil ichida AQSH da ham, G‘arbiy Evropada ham jamiyatning inqilob darajasidagi ijtimoiy-madaniy o‘zarishlari amalga oshgan. Asrlar osha qaror topgan tahqirlash amaliyotlari tubdan bartaraf etilgan deb bo‘lmaydi, albatta, lekin shunga qaramay, teng huquqlilik va ayollar emansipatsiyasi tamoyillari AQSH ning jinsiy siyosatining ajralmas qismi bo‘lgan. 1960-1970 yillarda teng huquqlarning formal-huquqiy tamoyilini ta’minlash strategiyasi jinsiy neytral amaliyot qaror topishiga olib kelgan. Keyin, 1980-1990 yillardja teng imkoniyatlar strategiyasiga o‘tish ijobiy harakatlarning jinsiy sezgir siyosatini va ayollarning maxsus huquqlarini qaror toptiradi. Bu siyosat rivojlanishining asosiy bosqichlari AQSH ayollar harakatining ikkita bosh oqimi: ayollar huquqlari uchun liberal harakat va radikal ozodlik harakati bilan yaqindan bog‘liq bo‘lgan.</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1960-1970 yillarda feministik liberal harakatning e’tibori markazida </w:t>
      </w:r>
      <w:r>
        <w:rPr>
          <w:rFonts w:ascii="Times New Roman" w:cs="Times New Roman" w:eastAsia="Times New Roman" w:hAnsi="Times New Roman"/>
          <w:color w:val="000000"/>
          <w:sz w:val="32"/>
          <w:szCs w:val="32"/>
          <w:lang w:val="en-US" w:eastAsia="ru-RU"/>
        </w:rPr>
        <w:t>ayollarning qonunchilik tahqirlanishi va tahqirlashga qarshi siyosiy tamoyillar shakllanishi muammosi bo‘lgan edi. Bu harakatning asosiy tushunchasi “teng” (bir xil) va “turlicha” so‘zlarining qarama-qarshiligi bo‘lgan edi. 1960 yillar davomida AQSH ning tiklanayotgan ayollar harakati qora tanli amerikaliklarning fuqarolik huquqlari uchun ommaviy darajaga yetgan harakatidan orqada qolib kelgani uchun, jinsiy belgisiga ko‘ra tahqirlashga qarshi kurashning strategiyasi va taktikasi ko‘p jihatdan irqiy muammo yuzasidan muzokaralar doirasi bilan belgilab berilgan G‘arb davlatlarining jinsiy siyosatida radikal o‘zgarishlar 1960- yillarda, ayollar harakatining ikkinchi to‘lqini ta’sirida boshlangan. Teng huquqlar va teng imkoniyatlarni ta’minlash yuzasidan ta’sirchan davlat mexanizmining yaratilishi ayollarning barcha hayotiy faoliyat sohalaridagi maqomi jiddiy ortishini ta’minladi. Oxirgi o‘ttiz yil ichida AQSH da ham, G‘arbiy Evropada ham jamiyatning inqilob darajasidagi ijtimoiy-madaniy o‘zarishlari amalga oshgan. Asrlar osha qaror topgan tahqirlash amaliyotlari tubdan bartaraf etilgan deb bo‘lmaydi, albatta, lekin shunga qaramay, teng huquqlilik va ayollar emansipatsiyasi tamoyillari AQSH ning jinsiy siyosatining ajralmas qismi bo‘lgan. 1960-1970 yillarda teng huquqlarning formal-huquqiy tamoyilini ta’minlash strategiyasi jinsiy neytral amaliyot qaror topishiga olib kelgan. Keyin, 1980-1990 yillardja teng imkoniyatlar strategiyasiga o‘tish ijobiy harakatlarning jinsiy sezgir siyosatini va ayollarning maxsus huquqlarini qaror toptiradi. Bu siyosat rivojlanishining asosiy bosqichlari AQSH ayollar harakatining ikkita bosh oqimi: ayollar huquqlari uchun liberal harakat va radikal ozodlik harakati bilan yaqindan bog‘liq bo‘lgan.</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1960-1970 yillarda feministik liberal harakatning e’tibori markazida ayollarning qonunchilik tahqirlanishi va tahqirlashga qarshi siyosiy tamoyillar shakllanishi muammosi bo‘lgan edi. Bu harakatning asosiy tushunchasi “teng” (bir xil) va “turlicha” so‘zlarining qarama-qarshiligi bo‘lgan edi. 1960 yillar davomida AQSH ning tiklanayotgan ayollar harakati qora tanli amerikaliklarning fuqarolik huquqlari uchun ommaviy darajaga yetgan harakatidan orqada qolib kelgani uchun, jinsiy belgisiga ko‘ra tahqirlashga qarshi kurashning strategiyasi va taktikasi ko‘p jihatdan irqiy muammo yuzasidan muzokaralar doirasi bilan belgilab </w:t>
      </w:r>
      <w:r>
        <w:rPr>
          <w:rFonts w:ascii="Times New Roman" w:cs="Times New Roman" w:eastAsia="Times New Roman" w:hAnsi="Times New Roman"/>
          <w:color w:val="000000"/>
          <w:sz w:val="32"/>
          <w:szCs w:val="32"/>
          <w:lang w:val="en-US" w:eastAsia="ru-RU"/>
        </w:rPr>
        <w:t>berilgan</w:t>
      </w:r>
      <w:r>
        <w:rPr/>
        <w:fldChar w:fldCharType="begin"/>
      </w:r>
      <w:r>
        <w:instrText xml:space="preserve"> HYPERLINK \l "bookmark43" \o "Current Document" </w:instrText>
      </w:r>
      <w:r>
        <w:rPr/>
        <w:fldChar w:fldCharType="separate"/>
      </w:r>
      <w:r>
        <w:rPr>
          <w:rFonts w:ascii="Times New Roman" w:cs="Times New Roman" w:eastAsia="Times New Roman" w:hAnsi="Times New Roman"/>
          <w:color w:val="0563c1"/>
          <w:sz w:val="32"/>
          <w:szCs w:val="32"/>
          <w:u w:val="single"/>
          <w:vertAlign w:val="superscript"/>
          <w:lang w:eastAsia="ru-RU"/>
        </w:rPr>
        <w:footnoteReference w:id="1"/>
      </w:r>
      <w:r>
        <w:rPr/>
        <w:fldChar w:fldCharType="end"/>
      </w:r>
      <w:r>
        <w:rPr>
          <w:rFonts w:ascii="Times New Roman" w:cs="Times New Roman" w:eastAsia="Times New Roman" w:hAnsi="Times New Roman"/>
          <w:color w:val="000000"/>
          <w:sz w:val="32"/>
          <w:szCs w:val="32"/>
          <w:lang w:val="en-US" w:eastAsia="ru-RU"/>
        </w:rPr>
        <w:t>.</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Amerika huquqshunosligida, ko‘pgina G‘arb tizimlaridan farqli ravishda, irqi va jinsi belgisiga ko‘ra huquqiy tengsizlikni oqlashga mo‘ljallangan konsepsiya bor edi. Demokratik davlatda huquqni asosiy tushunish istisnosiz barcha shaxslarga bir xil standartlar qo‘llanishini ko‘zda tutadi.</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Oliy Sud 1950 yillar o‘rtalarida ta’lim sohasida segregatsiya yuzasidan qarorida “alohida, lekin teng muomala qilish” doktrinasini rad etib, irqiy belgisiga ko‘ra alohida o‘qitish teng bo‘lishi mumkin emas, deb aytdi. Qoratanlilarning fuqarolik huquqlari uchun harakatning tarafdorlari ketidan liberal feministik ayollar o‘z tub nuqtai nazarini shakllantirib, ifodalaganlar. Farqlanishi haqidagi har qanday gapirish muqarrar holda ham irqchilikka, ham seksizmga olib keladi. “Turlicha” huquqiy standartni bekor qilish ayollar va erkaklarning ijtimoiy tengligiga erishishga olib keladi. Aynan shu vazifa Milliy Ayollar tashkiloti (MAT) dasturida asosiy deb qabul qilingan.</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1963 yildagi teng mehnat uchun teng haq to‘lash haqidagi qonun Amerika tarixida ish beruvchilar tomonidan jinsiy belgisiga ko‘ra tahqirlashini cheklaydigan birinchi yuridik hujjat bo‘lgan. Unga ko‘ra, yollovchi “erkaklar va ayollar teng malakka, tajriba, kuch ishlatish, mas’uliyatini talab etadigan va teng ish sharoitlaridan bajarilgan taqqoslanadigan ishlarni bajargan holda erkaklar va ayollarning mehnatiga bir xil haq to‘lashi lozim”.</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Bandlik sohasida tengsizlikni bartaraf etish uchun yuridik bazaga 1964 yildagi Fuqarolik huquqlari haqidagi qonunda asos solingan. 7- bo‘limda ish beruvchilarga sud da’volarini kiritish uchun asos bo‘ladigan “noqonuniy mexnat amaliyoti” ta’rifini bergan edi. 1960- yillar o‘rtalaridan boshlab ayollar tashilotlari, sudlarda ayollar huquqlarini himoya qilish bo‘yicha milliy kampaniyani rivojlantirib, 1964 yil Qonunining aniq huquqiy me’yorlaridan ancha samarali foydalana oladigan bo‘ldi. Xususiy kompaniyalar “shaxsning jinsiy belgisiga ko‘ra haq to‘lash, ish javomiyligi va shartlari yuzasidan tahqirlanishiga </w:t>
      </w:r>
      <w:r>
        <w:rPr>
          <w:rFonts w:ascii="Times New Roman" w:cs="Times New Roman" w:eastAsia="Times New Roman" w:hAnsi="Times New Roman"/>
          <w:color w:val="000000"/>
          <w:sz w:val="32"/>
          <w:szCs w:val="32"/>
          <w:lang w:val="en-US" w:eastAsia="ru-RU"/>
        </w:rPr>
        <w:t>qaratilgan yollashni rad etish, ishdan bo‘shatish va boshqa harakatlar” holatida qonunlarni buzganligi uchun ta’qib etilgan. Bir necha yildan keyin qonunga federal, shtat va mahalliy muassasalar va ta’lim institutlariga taalluqli bo‘lishini ko‘rsatuvchi qo‘shimchalar kiritilgan.</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Mehnat amaliyotini isloh etishdan so‘ng qonun chiqaruvchilar 1970-yillar davomida ayollarning tadbirkorlik sohasida teng huquqli ishtirok etishi uchun to‘siq yaratuvchi barcha huquqiy me’yoralarni tubdan qayta ko‘rib chiqdi. Birinchi navbatda, Yevropa davlatlaridagi kabi, Amerika qonunlari ayollarning bank kreditlarini olishda ko‘p sonli shartlari va cheklovlarini bartarafetishi lozim bo‘lgan. Kredit olish imkoniyatidan keyin amerikalik ayollar bankda nafaqa hisobraqamlarini ochishga va nafaqasini yig‘ishga muvaffaq bo‘ldi. 1968 yilda turar joy qurilishida tenglik haqidagi qonun kuchga kirdi. Unda turar joyni sotib olish, sotish, ijaraga olish berish yoki kreditlashda huquqlarni poymol etish yoki cheklash uchun asos sifatida jinsiy belgisidan har qanday foydalanish noqonuniy bo‘lib, sudda qayta ko‘rib chiqilishi shart, degan aniq qoidalar bo‘lgan.</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Erkaklar bilan bir xil kasbiy ta’lim olish huquqi feminizmda ayollar emansipatsiyasining tub sharti deb qaralgan. Ayollar harakatining birinchi to‘lqini saylov huquqi bilan birga oliy ma’lumot olish imkoniyatini ustuvor vazifa deb hisoblagan. Amerikalik feministik ayollar bu huquqni “alohida, lekin teng muomala” qonuniy diskurs qolidasi doirasida taab etishga majbur bo‘lganlar. AQSH da “Ayollarga ta’lim berish nima uchun kerak?” degan mavzuda ommaviy muhokamalar yuz yildan ortiq davom etgan.</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Ayollar maqomi bo‘yicha Prezident komissiyasi, ayollarning “o‘z intellektual va kasbiy salohiyatini amalga oshirishga” bo‘lgan “tabiiy huquqlarini” amalga oshirish zarurligini da’vat qilib, shunga qaramay, konvensional jinsiy mafkuraga sodiq qolgan edi. Komissiyaning yakuniy ma’ruzasida aytilishicha, “Ayollarning o‘z-o‘zmini amalga oshirish maqsadida ta’lim olishi oilasiga, uyi va jamoasiga nisbatan majburiyatlarini bajarishga, o‘z eri va bolalariga yordam berish, ilhomi berish va hamkorlikni ta’minlaga qaratilishi lozim”.</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Feministik ayollarning ikkinchi to‘lqini ayollar huquqlarining yangi </w:t>
      </w:r>
      <w:r>
        <w:rPr>
          <w:rFonts w:ascii="Times New Roman" w:cs="Times New Roman" w:eastAsia="Times New Roman" w:hAnsi="Times New Roman"/>
          <w:color w:val="000000"/>
          <w:sz w:val="32"/>
          <w:szCs w:val="32"/>
          <w:lang w:val="en-US" w:eastAsia="ru-RU"/>
        </w:rPr>
        <w:t>aqidasi doirasida ta’lim muammosini kiritganlar. 1960 yillarda xususiy ta’lim institutlari bo‘lgan amerika universitetlari, kollejlari va kasbiy maktablarida rasman qizlarni qabul qilish oshkora taqiqlanmagan edi.</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SHu bilan birga, muhandislik maktablarida, biznes, huquq va tibbiyot maktablarida ayollarning ulushi 15 % dan oshmagan. 1965 yilda Garvard universitetining gumanitar bo‘limlaridagi 435 ta professorlari ichida bitta ham ayol yo‘q edi.</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Feministik ayollarning lobbi harakatlari 1972 yilda muvaffaqiyatga erishgan, bunda Kongress Oliy ma’lumot haqidagi Qonunga tuzatishni qabul qilgan: “barcha ta’lim muassasalarida va federal moliyaviy yordamiga ega bo‘lgan dasturlarda hech kim jdinsiy belgisiga ko‘ra tahqirlash ob’ekti bo‘lishi mumkin emas”. Bu qonun asosida ayollar tashkilotlari endi universitetga qabul qilish rad etilishi yuzasidan har qanday da’volarni qo‘llab-quvvatlashi mumkin bo‘ldi.</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1970 yillar davomida universitetlarda jinsiy teng huquqlilik amaliyoti qaror topgan sari, feministik ayollar tahqirlashni yo‘q qilishning yuridik jihatini kuchaytirishga qaratilgan yangi tuzatishlar kiritgan. Davlatning ta’lim tizimini isloh etish fan-texnika revolyusiyasi davrida ustuvor milliy vazifalaridan biriga aylandi. 1960-yillar o‘rtalaridan boshlab Kongress har yili ta’limga byudjet ajratmalarini oshirib borgan. Kasbiy ta’lim haqidagi Qonunga 1976 yildagi tuzatish ta’lim islohoti uchun moliyalashtirish olayotgan shtatlarni “mablag‘larning bir qismini seksistik xurofotlar va stereotipla yuzaga keltiradigan tahqirlashni bartaraf etishning maxsus dasturlariga qaratish” ga majbur qilgan.</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Yevropa davlatlarida “umumiy farovonlik davlati” aqidasi doirasida jinsiy tenglik erkaklar va ayollar orasidagi farqlar (o‘xshamasligi, bir xil emasligi) ularning ijtimoiy-iqtisodiy maqomining bir xil bo‘lmasligi olib kelishi mumkin emas, deb aytilgan. SHuning uchun teng huquqlar siyosati davlatning ayollar maqomini yaxshilash va ularning o‘ziga xos ehtiyojlarini qondirish bo‘yicha maxsus dasturlari bilan to‘ldirilishi lozim.</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
          <w:bCs/>
          <w:color w:val="000000"/>
          <w:sz w:val="32"/>
          <w:szCs w:val="32"/>
          <w:lang w:val="en-US" w:eastAsia="ru-RU"/>
        </w:rPr>
        <w:t>Inson huquqi —</w:t>
      </w:r>
      <w:r>
        <w:rPr/>
        <w:fldChar w:fldCharType="begin"/>
      </w:r>
      <w:r>
        <w:instrText xml:space="preserve"> HYPERLINK "https://uz.wikipedia.org/wiki/Shaxs" </w:instrText>
      </w:r>
      <w:r>
        <w:rPr/>
        <w:fldChar w:fldCharType="separate"/>
      </w:r>
      <w:r>
        <w:rPr>
          <w:rFonts w:ascii="Times New Roman" w:cs="Times New Roman" w:eastAsia="Times New Roman" w:hAnsi="Times New Roman"/>
          <w:b/>
          <w:bCs/>
          <w:color w:val="0563c1"/>
          <w:sz w:val="32"/>
          <w:szCs w:val="32"/>
          <w:u w:val="single"/>
          <w:lang w:val="en-US" w:eastAsia="ru-RU"/>
        </w:rPr>
        <w:t xml:space="preserve"> </w:t>
      </w:r>
      <w:r>
        <w:rPr>
          <w:rFonts w:ascii="Times New Roman" w:cs="Times New Roman" w:eastAsia="Times New Roman" w:hAnsi="Times New Roman"/>
          <w:color w:val="0563c1"/>
          <w:sz w:val="32"/>
          <w:szCs w:val="32"/>
          <w:u w:val="single"/>
          <w:lang w:val="en-US" w:eastAsia="ru-RU"/>
        </w:rPr>
        <w:t xml:space="preserve">shaxsning </w:t>
      </w:r>
      <w:r>
        <w:rPr/>
        <w:fldChar w:fldCharType="end"/>
      </w:r>
      <w:r>
        <w:rPr>
          <w:rFonts w:ascii="Times New Roman" w:cs="Times New Roman" w:eastAsia="Times New Roman" w:hAnsi="Times New Roman"/>
          <w:color w:val="000000"/>
          <w:sz w:val="32"/>
          <w:szCs w:val="32"/>
          <w:lang w:val="en-US" w:eastAsia="ru-RU"/>
        </w:rPr>
        <w:t>hayotiy</w:t>
      </w:r>
      <w:r>
        <w:rPr/>
        <w:fldChar w:fldCharType="begin"/>
      </w:r>
      <w:r>
        <w:instrText xml:space="preserve"> HYPERLINK "https://uz.wikipedia.org/wiki/Ehtiyoj" </w:instrText>
      </w:r>
      <w:r>
        <w:rPr/>
        <w:fldChar w:fldCharType="separate"/>
      </w:r>
      <w:r>
        <w:rPr>
          <w:rFonts w:ascii="Times New Roman" w:cs="Times New Roman" w:eastAsia="Times New Roman" w:hAnsi="Times New Roman"/>
          <w:color w:val="0563c1"/>
          <w:sz w:val="32"/>
          <w:szCs w:val="32"/>
          <w:u w:val="single"/>
          <w:lang w:val="en-US" w:eastAsia="ru-RU"/>
        </w:rPr>
        <w:t xml:space="preserve"> ehtiyoji,</w:t>
      </w:r>
      <w:r>
        <w:rPr/>
        <w:fldChar w:fldCharType="end"/>
      </w:r>
      <w:r>
        <w:rPr>
          <w:rFonts w:ascii="Times New Roman" w:cs="Times New Roman" w:eastAsia="Times New Roman" w:hAnsi="Times New Roman"/>
          <w:color w:val="000000"/>
          <w:sz w:val="32"/>
          <w:szCs w:val="32"/>
          <w:lang w:val="en-US" w:eastAsia="ru-RU"/>
        </w:rPr>
        <w:t xml:space="preserve"> yashashi, komil topishi uning</w:t>
      </w:r>
      <w:r>
        <w:rPr/>
        <w:fldChar w:fldCharType="begin"/>
      </w:r>
      <w:r>
        <w:instrText xml:space="preserve"> HYPERLINK "https://uz.wikipedia.org/wiki/Jamiyat" </w:instrText>
      </w:r>
      <w:r>
        <w:rPr/>
        <w:fldChar w:fldCharType="separate"/>
      </w:r>
      <w:r>
        <w:rPr>
          <w:rFonts w:ascii="Times New Roman" w:cs="Times New Roman" w:eastAsia="Times New Roman" w:hAnsi="Times New Roman"/>
          <w:color w:val="0563c1"/>
          <w:sz w:val="32"/>
          <w:szCs w:val="32"/>
          <w:u w:val="single"/>
          <w:lang w:val="en-US" w:eastAsia="ru-RU"/>
        </w:rPr>
        <w:t xml:space="preserve"> jamiyat,</w:t>
      </w:r>
      <w:r>
        <w:rPr/>
        <w:fldChar w:fldCharType="end"/>
      </w:r>
      <w:r>
        <w:rPr/>
        <w:fldChar w:fldCharType="begin"/>
      </w:r>
      <w:r>
        <w:instrText xml:space="preserve"> HYPERLINK "https://uz.wikipedia.org/wiki/Davlat" </w:instrText>
      </w:r>
      <w:r>
        <w:rPr/>
        <w:fldChar w:fldCharType="separate"/>
      </w:r>
      <w:r>
        <w:rPr>
          <w:rFonts w:ascii="Times New Roman" w:cs="Times New Roman" w:eastAsia="Times New Roman" w:hAnsi="Times New Roman"/>
          <w:color w:val="0563c1"/>
          <w:sz w:val="32"/>
          <w:szCs w:val="32"/>
          <w:u w:val="single"/>
          <w:lang w:val="en-US" w:eastAsia="ru-RU"/>
        </w:rPr>
        <w:t xml:space="preserve"> davlat </w:t>
      </w:r>
      <w:r>
        <w:rPr/>
        <w:fldChar w:fldCharType="end"/>
      </w:r>
      <w:r>
        <w:rPr>
          <w:rFonts w:ascii="Times New Roman" w:cs="Times New Roman" w:eastAsia="Times New Roman" w:hAnsi="Times New Roman"/>
          <w:color w:val="000000"/>
          <w:sz w:val="32"/>
          <w:szCs w:val="32"/>
          <w:lang w:val="en-US" w:eastAsia="ru-RU"/>
        </w:rPr>
        <w:t>va boshqa</w:t>
      </w:r>
      <w:r>
        <w:rPr/>
        <w:fldChar w:fldCharType="begin"/>
      </w:r>
      <w:r>
        <w:instrText xml:space="preserve"> HYPERLINK "https://uz.wikipedia.org/wiki/Shaxs" </w:instrText>
      </w:r>
      <w:r>
        <w:rPr/>
        <w:fldChar w:fldCharType="separate"/>
      </w:r>
      <w:r>
        <w:rPr>
          <w:rFonts w:ascii="Times New Roman" w:cs="Times New Roman" w:eastAsia="Times New Roman" w:hAnsi="Times New Roman"/>
          <w:color w:val="0563c1"/>
          <w:sz w:val="32"/>
          <w:szCs w:val="32"/>
          <w:u w:val="single"/>
          <w:lang w:val="en-US" w:eastAsia="ru-RU"/>
        </w:rPr>
        <w:t xml:space="preserve"> shaxslar </w:t>
      </w:r>
      <w:r>
        <w:rPr/>
        <w:fldChar w:fldCharType="end"/>
      </w:r>
      <w:r>
        <w:rPr>
          <w:rFonts w:ascii="Times New Roman" w:cs="Times New Roman" w:eastAsia="Times New Roman" w:hAnsi="Times New Roman"/>
          <w:color w:val="000000"/>
          <w:sz w:val="32"/>
          <w:szCs w:val="32"/>
          <w:lang w:val="en-US" w:eastAsia="ru-RU"/>
        </w:rPr>
        <w:t>bilan aloqasi uchun zarur bo‘lgan xususiyatlari.</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noProof/>
          <w:color w:val="000000"/>
          <w:sz w:val="32"/>
          <w:szCs w:val="32"/>
          <w:lang w:eastAsia="ru-RU"/>
        </w:rPr>
        <w:drawing>
          <wp:inline distL="0" distT="0" distB="0" distR="0">
            <wp:extent cx="2105025" cy="2181225"/>
            <wp:effectExtent l="0" t="0" r="9525" b="9525"/>
            <wp:docPr id="1026" name="Рисунок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2" cstate="print"/>
                    <a:srcRect l="0" t="0" r="0" b="0"/>
                    <a:stretch/>
                  </pic:blipFill>
                  <pic:spPr>
                    <a:xfrm rot="0">
                      <a:off x="0" y="0"/>
                      <a:ext cx="2105025" cy="2181225"/>
                    </a:xfrm>
                    <a:prstGeom prst="rect"/>
                    <a:ln>
                      <a:noFill/>
                    </a:ln>
                  </pic:spPr>
                </pic:pic>
              </a:graphicData>
            </a:graphic>
          </wp:inline>
        </w:drawing>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Inson huquqi logotipi</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eastAsia="ru-RU"/>
        </w:rPr>
        <w:t>Inson huquqlari va</w:t>
      </w:r>
      <w:r>
        <w:rPr/>
        <w:fldChar w:fldCharType="begin"/>
      </w:r>
      <w:r>
        <w:instrText xml:space="preserve"> HYPERLINK "https://uz.wikipedia.org/wiki/Erkinlik" </w:instrText>
      </w:r>
      <w:r>
        <w:rPr/>
        <w:fldChar w:fldCharType="separate"/>
      </w:r>
      <w:r>
        <w:rPr>
          <w:rFonts w:ascii="Times New Roman" w:cs="Times New Roman" w:eastAsia="Times New Roman" w:hAnsi="Times New Roman"/>
          <w:color w:val="0563c1"/>
          <w:sz w:val="32"/>
          <w:szCs w:val="32"/>
          <w:u w:val="single"/>
          <w:lang w:eastAsia="ru-RU"/>
        </w:rPr>
        <w:t xml:space="preserve"> erkinliklari </w:t>
      </w:r>
      <w:r>
        <w:rPr/>
        <w:fldChar w:fldCharType="end"/>
      </w:r>
      <w:r>
        <w:rPr>
          <w:rFonts w:ascii="Times New Roman" w:cs="Times New Roman" w:eastAsia="Times New Roman" w:hAnsi="Times New Roman"/>
          <w:color w:val="000000"/>
          <w:sz w:val="32"/>
          <w:szCs w:val="32"/>
          <w:lang w:eastAsia="ru-RU"/>
        </w:rPr>
        <w:t xml:space="preserve">tizimi o‘z yaralish ibtidosi va rivojlanish mantiqiga ega. </w:t>
      </w:r>
      <w:r>
        <w:rPr>
          <w:rFonts w:ascii="Times New Roman" w:cs="Times New Roman" w:eastAsia="Times New Roman" w:hAnsi="Times New Roman"/>
          <w:color w:val="000000"/>
          <w:sz w:val="32"/>
          <w:szCs w:val="32"/>
          <w:lang w:val="en-US" w:eastAsia="ru-RU"/>
        </w:rPr>
        <w:t>Adabiyotlarda „inson huquqlarining uch avlod“ bosqichi haqida ko‘rsatilgan.</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Ular quyidagilardan iborat.</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Inson huquqlarining „birinchi avlodi“ -</w:t>
      </w:r>
      <w:r>
        <w:rPr/>
        <w:fldChar w:fldCharType="begin"/>
      </w:r>
      <w:r>
        <w:instrText xml:space="preserve"> HYPERLINK "https://uz.wikipedia.org/wiki/Fuqarolik" </w:instrText>
      </w:r>
      <w:r>
        <w:rPr/>
        <w:fldChar w:fldCharType="separate"/>
      </w:r>
      <w:r>
        <w:rPr>
          <w:rFonts w:ascii="Times New Roman" w:cs="Times New Roman" w:eastAsia="Times New Roman" w:hAnsi="Times New Roman"/>
          <w:color w:val="0563c1"/>
          <w:sz w:val="32"/>
          <w:szCs w:val="32"/>
          <w:u w:val="single"/>
          <w:lang w:val="en-US" w:eastAsia="ru-RU"/>
        </w:rPr>
        <w:t xml:space="preserve"> fuqarolik </w:t>
      </w:r>
      <w:r>
        <w:rPr/>
        <w:fldChar w:fldCharType="end"/>
      </w:r>
      <w:r>
        <w:rPr>
          <w:rFonts w:ascii="Times New Roman" w:cs="Times New Roman" w:eastAsia="Times New Roman" w:hAnsi="Times New Roman"/>
          <w:color w:val="000000"/>
          <w:sz w:val="32"/>
          <w:szCs w:val="32"/>
          <w:lang w:val="en-US" w:eastAsia="ru-RU"/>
        </w:rPr>
        <w:t>va</w:t>
      </w:r>
      <w:r>
        <w:rPr/>
        <w:fldChar w:fldCharType="begin"/>
      </w:r>
      <w:r>
        <w:instrText xml:space="preserve"> HYPERLINK "https://uz.wikipedia.org/w/index.php?title=Siyosiy&amp;action=edit&amp;redlink=1" </w:instrText>
      </w:r>
      <w:r>
        <w:rPr/>
        <w:fldChar w:fldCharType="separate"/>
      </w:r>
      <w:r>
        <w:rPr>
          <w:rFonts w:ascii="Times New Roman" w:cs="Times New Roman" w:eastAsia="Times New Roman" w:hAnsi="Times New Roman"/>
          <w:color w:val="0563c1"/>
          <w:sz w:val="32"/>
          <w:szCs w:val="32"/>
          <w:u w:val="single"/>
          <w:lang w:val="en-US" w:eastAsia="ru-RU"/>
        </w:rPr>
        <w:t xml:space="preserve"> siyosiy </w:t>
      </w:r>
      <w:r>
        <w:rPr/>
        <w:fldChar w:fldCharType="end"/>
      </w:r>
      <w:r>
        <w:rPr>
          <w:rFonts w:ascii="Times New Roman" w:cs="Times New Roman" w:eastAsia="Times New Roman" w:hAnsi="Times New Roman"/>
          <w:color w:val="000000"/>
          <w:sz w:val="32"/>
          <w:szCs w:val="32"/>
          <w:lang w:val="en-US" w:eastAsia="ru-RU"/>
        </w:rPr>
        <w:t>huquqlar hisoblanadi.</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Inson huquqlarining „ikkinchi avlodi“ - bir qator ob’ektiv va sub’ektiv omillar ta’siri ostida shakllandi. XIX asr oxiri XX asr boshlarida sanoati rivojlangan ko‘pgina mamlakatlarda</w:t>
      </w:r>
      <w:r>
        <w:rPr/>
        <w:fldChar w:fldCharType="begin"/>
      </w:r>
      <w:r>
        <w:instrText xml:space="preserve"> HYPERLINK "https://uz.wikipedia.org/wiki/Iqtisodiyot" </w:instrText>
      </w:r>
      <w:r>
        <w:rPr/>
        <w:fldChar w:fldCharType="separate"/>
      </w:r>
      <w:r>
        <w:rPr>
          <w:rFonts w:ascii="Times New Roman" w:cs="Times New Roman" w:eastAsia="Times New Roman" w:hAnsi="Times New Roman"/>
          <w:color w:val="0563c1"/>
          <w:sz w:val="32"/>
          <w:szCs w:val="32"/>
          <w:u w:val="single"/>
          <w:lang w:val="en-US" w:eastAsia="ru-RU"/>
        </w:rPr>
        <w:t xml:space="preserve"> iqtisodiyot</w:t>
      </w:r>
      <w:r>
        <w:rPr/>
        <w:fldChar w:fldCharType="end"/>
      </w:r>
      <w:r>
        <w:rPr>
          <w:rFonts w:ascii="Times New Roman" w:cs="Times New Roman" w:eastAsia="Times New Roman" w:hAnsi="Times New Roman"/>
          <w:color w:val="000000"/>
          <w:sz w:val="32"/>
          <w:szCs w:val="32"/>
          <w:lang w:val="en-US" w:eastAsia="ru-RU"/>
        </w:rPr>
        <w:t xml:space="preserve"> sohasida sezilarli siljishlar ro‘y berdi.</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Nihoyat, inson huquqlarining „uchinchi avlodi“ — „hamjihatlik huquqlari“ deb atalib, ular davlatlardan ustun turuvchi va kollektiv xarakterga ega. Umumiy e’tirof etilgan qoidaga ko‘ra bu huquqlar: tinchlikka bo‘lgan huquq, bexavotir tabiiy atrof muhitga bo‘lgan huquq, insonniyatning</w:t>
      </w:r>
      <w:r>
        <w:rPr/>
        <w:fldChar w:fldCharType="begin"/>
      </w:r>
      <w:r>
        <w:instrText xml:space="preserve"> HYPERLINK "https://uz.wikipedia.org/wiki/Iqtisod" </w:instrText>
      </w:r>
      <w:r>
        <w:rPr/>
        <w:fldChar w:fldCharType="separate"/>
      </w:r>
      <w:r>
        <w:rPr>
          <w:rFonts w:ascii="Times New Roman" w:cs="Times New Roman" w:eastAsia="Times New Roman" w:hAnsi="Times New Roman"/>
          <w:color w:val="0563c1"/>
          <w:sz w:val="32"/>
          <w:szCs w:val="32"/>
          <w:u w:val="single"/>
          <w:lang w:val="en-US" w:eastAsia="ru-RU"/>
        </w:rPr>
        <w:t xml:space="preserve"> iqtisodiy </w:t>
      </w:r>
      <w:r>
        <w:rPr/>
        <w:fldChar w:fldCharType="end"/>
      </w:r>
      <w:r>
        <w:rPr>
          <w:rFonts w:ascii="Times New Roman" w:cs="Times New Roman" w:eastAsia="Times New Roman" w:hAnsi="Times New Roman"/>
          <w:color w:val="000000"/>
          <w:sz w:val="32"/>
          <w:szCs w:val="32"/>
          <w:lang w:val="en-US" w:eastAsia="ru-RU"/>
        </w:rPr>
        <w:t>va madaniy merosidan foydalanish huquqi va boshqalar.</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Insonning o‘z erkinliklari, huquqlari va manfaatlari uchun davom etgan uzoq kurashi umuminsoniy ahamiyat darajasiga ko‘tarilgan quyidagi me’yoriy-huquqiy hujjatlarda o‘zining moddiy ifodasini topgan:</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Erkinlikning buyuk xaritiyasi (1215 yil);</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Huquq to‘g‘risidagi petitsiya (1628 y);</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„Habea Cozpus AKT“ (1679 yil);</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huquqlar to‘g‘risidagi bill (1689 yil);</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Amerika Virginiyasi huquqlari Deklaratsiyasi (1776 yil);</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Amerika Qo‘shma Shtatlarining mustaqillik Deklaratsiyasi (1776 </w:t>
      </w:r>
      <w:r>
        <w:rPr>
          <w:rFonts w:ascii="Times New Roman" w:cs="Times New Roman" w:eastAsia="Times New Roman" w:hAnsi="Times New Roman"/>
          <w:color w:val="000000"/>
          <w:sz w:val="32"/>
          <w:szCs w:val="32"/>
          <w:lang w:val="en-US" w:eastAsia="ru-RU"/>
        </w:rPr>
        <w:t>yil);</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Fransuz inson va fuqaro huquqlari Deklaratsiyasi (1789 yil);</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Inson huquqlari Umumjahon Deklaratsiyasi (1948 yil);</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Iqtisodiy, ijtimoiy va madaniy huquqlar to‘g‘risida xalqaro Pakt (1966 y) va boshqalar.</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Inson huquqlari barcha insonlarning umumbashariy va ajralmas huquqlari bo‘lib, qaysidir davlatga, millatga, fuqarolikka yoki dinga tegishli bo‘lmasin hamma uchun bir hildir. Bu huquqlar</w:t>
      </w:r>
      <w:r>
        <w:rPr/>
        <w:fldChar w:fldCharType="begin"/>
      </w:r>
      <w:r>
        <w:instrText xml:space="preserve"> HYPERLINK "https://uz.wikipedia.org/wiki/Inson_Huquqlari_Umumjahon_Deklaratsiyasi" </w:instrText>
      </w:r>
      <w:r>
        <w:rPr/>
        <w:fldChar w:fldCharType="separate"/>
      </w:r>
      <w:r>
        <w:rPr>
          <w:rFonts w:ascii="Times New Roman" w:cs="Times New Roman" w:eastAsia="Times New Roman" w:hAnsi="Times New Roman"/>
          <w:color w:val="0563c1"/>
          <w:sz w:val="32"/>
          <w:szCs w:val="32"/>
          <w:u w:val="single"/>
          <w:lang w:val="en-US" w:eastAsia="ru-RU"/>
        </w:rPr>
        <w:t xml:space="preserve"> Inson Huquqlari</w:t>
      </w:r>
      <w:r>
        <w:rPr/>
        <w:fldChar w:fldCharType="end"/>
      </w:r>
      <w:r>
        <w:rPr>
          <w:rFonts w:ascii="Times New Roman" w:cs="Times New Roman" w:eastAsia="Times New Roman" w:hAnsi="Times New Roman"/>
          <w:color w:val="000000"/>
          <w:sz w:val="32"/>
          <w:szCs w:val="32"/>
          <w:lang w:val="en-US" w:eastAsia="ru-RU"/>
        </w:rPr>
        <w:t xml:space="preserve"> </w:t>
      </w:r>
      <w:r>
        <w:rPr/>
        <w:fldChar w:fldCharType="begin"/>
      </w:r>
      <w:r>
        <w:instrText xml:space="preserve"> HYPERLINK "https://uz.wikipedia.org/wiki/Inson_Huquqlari_Umumjahon_Deklaratsiyasi" </w:instrText>
      </w:r>
      <w:r>
        <w:rPr/>
        <w:fldChar w:fldCharType="separate"/>
      </w:r>
      <w:r>
        <w:rPr>
          <w:rFonts w:ascii="Times New Roman" w:cs="Times New Roman" w:eastAsia="Times New Roman" w:hAnsi="Times New Roman"/>
          <w:color w:val="0563c1"/>
          <w:sz w:val="32"/>
          <w:szCs w:val="32"/>
          <w:u w:val="single"/>
          <w:lang w:val="en-US" w:eastAsia="ru-RU"/>
        </w:rPr>
        <w:t xml:space="preserve">Umumjahon Deklaratsiyasiga </w:t>
      </w:r>
      <w:r>
        <w:rPr/>
        <w:fldChar w:fldCharType="end"/>
      </w:r>
      <w:r>
        <w:rPr>
          <w:rFonts w:ascii="Times New Roman" w:cs="Times New Roman" w:eastAsia="Times New Roman" w:hAnsi="Times New Roman"/>
          <w:color w:val="000000"/>
          <w:sz w:val="32"/>
          <w:szCs w:val="32"/>
          <w:lang w:val="en-US" w:eastAsia="ru-RU"/>
        </w:rPr>
        <w:t>asoslangan. Inson Huquqlari xalqaro ko‘lamda amal qilinib, xalqaro qonunlar, dunyoviy va diniy muassasalar, hukumatlar siyosati va nodavlat tashkilotlari tomonidan dunyo siyosatiga juda ham katta ta’sir ko‘rsatadigan doktrinadir. Inson Huquqlari bu insonlarga berilgan imtiyoz bo‘lib u dunyoning ko‘pchilik taraqqiy etgan mamlakatlarida qonunlar, konstitutsiyaviy qadriyatlar normalari yoki halqaro konventsiyalar orqali tan olingan.</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Inson huquqlari - insonning davlat bilan munosabatidagi huquqiy maqomini, iqtisodiy, ijtimoiy, siyosiy va madaniy sohalardagi imkoni- yatlari hamda da’volarini tavsiflovchi tushuncha. Inson huquqlarini erkin va samarali tarzda amalga oshirish fuqarolik ja-miyati va huquqiy davlatning asosiy belgilaridan biridir. Inson huquqlarini mutlaq va nisbiy Inson huquqlariga bo‘lish qabul qilingan. Yashash huquqi, qiynoklarga, zo‘ravonlikka, inson sha’nini yerga uradigan boshqa xil muomalaga yoki jazoga duchor etilmaslik huquqi, shaxsiy hayotning daxlsizligi huquqi, shaxsiy va oilaviy sir saklash huquqi, o‘z sha’ni hamda yaxshi nomini himoya etish huquqi, vijdon erkinligi va dinga e’tiqod qilish huquqi, shuningdek, sud tomonidan himoya qilinish va odil sudlov huquqi hamda shular bilan bog‘liq eng muhim protsessual huquqlar mut-laq Inson huquqlari sirasiga kiradi. Qolgan hamma Inson huquqlari nisbiy bo‘lib, favqulodda yoki harbiy holat tartibi joriy qilingan vaziyatda cheklab yoki to‘xtatib qo‘yilishi mumkin. Demokratik davlatda mutlaq Inson huquqlarini har qanday vaziyatda ham cheklashga yoki vaqtincha to‘xtatishga (bekor qilishga) yo‘l qo‘yilmaydi.</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O‘zbekiston Respublikasining Konstitutsiyasida inson va fuqarolarning asosiy huquqlari, erkinliklari va burchlari, jumladan, </w:t>
      </w:r>
      <w:r>
        <w:rPr>
          <w:rFonts w:ascii="Times New Roman" w:cs="Times New Roman" w:eastAsia="Times New Roman" w:hAnsi="Times New Roman"/>
          <w:color w:val="000000"/>
          <w:sz w:val="32"/>
          <w:szCs w:val="32"/>
          <w:lang w:val="en-US" w:eastAsia="ru-RU"/>
        </w:rPr>
        <w:t>shaxsiy huquq va erkinliklari, siyosiy huquklari, iqtisodiy va ijtimoiy huquqlari, shuningdek, Inson huquqlari va erkinliklarining kafolatlari belgilab berilgan (18— 52-moddalar). O‘zbekiston Respublikasida barcha fuqarolar bir xil huquq va erkinliklarga ega bo‘lib, jinsi, irqi, millati, tili, dini, ijtimoiy kelib chiqishi, e’tiqodi, shaxsi va ijtimoiy mavqeidan qat’i nazar, qonun oldida tengdirlar (18-modda). Jumladan, yashash huquqi — har bir insonning uzviy huquqi. Inson hayotiga suiqasd qilish — eng og‘ir jinoyat hisoblanadi (24-modda). Har kim erkinlik va shaxsiy daxlsizlik huquqiga ega. Hech kim konunga asoslanmagan holda hibsga olinishi yoki qamoqda saqlanishi; qiynoqqa solinishi, zo‘ravonlikka, shafqatsiz yoki inson qadr-qimmatini kamsituvchi boshqa tarzdagi tazyiqqa duchor etilishi mumkin emas (25—26-moddalar). Har kim o‘z sha’ni va obro‘siga qilingan tajovuzlardan, shaxsiy hayotiga aralashishdan himoyalanish va turar joyi daxlsizligi huquqiga; fikrlash, so‘z va e’tiqod erkinligi xuquqiga ega (27—29-moddalar). Hamma uchun vijdon erkinligi kafolatlanadi. Har bir inson xoh-lagan dinga e’tiqod qilish yoki hech qaysi dinga e’tiqod qilmaslik huquqiga ega. Diniy qarashlarni majburan singdirishga yo‘l qo‘yilmaydi (31-modda). Mustaqillik yillarida O‘zbekistonda Inson huquqlari va erkinliklarining ustunligidan kelib chiqadigan, xalqaro miq-yosda qabul qilingan yangi yuridik ta-moyil va talablarga asoslangan keng hukuqiy muhit vujudga keltirildi. Totalitar tuzumning tazyiq va zo‘ravonligidan huquqiy me’yorlar sari keskin burilish yasaldi. Respublika qonunlarini Inson huquqlari sohasidagi xalqaro me’yorlar va andozalarga muvofiqlashtirish, mazkur sohada Milliy harakat dasturini ishlab chiqish, Inson huquqlarini himoya qiladigan muassasalarning yaxlit tizimini barpo etish, Inson huquqlariga oid xalqaro shartnomalar va hujjatlarga qo‘shilishda davom etib, bu hujjatlar bo‘yicha majburiyatlarni bajarishning, barcha davlat organlari, mansabdor shaxslar va fuqarolar shu hujjatlar talablariga so‘zsiz rioya qilishining mexanizmi yaratildi.Inson huquqlari va kafolatlari O‘z. Res. Konst.ning 7,8,9,10 boblarida berilgan.</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Cs/>
          <w:i/>
          <w:color w:val="000000"/>
          <w:sz w:val="32"/>
          <w:szCs w:val="32"/>
          <w:lang w:val="en-US" w:eastAsia="ru-RU"/>
        </w:rPr>
        <w:t>Birlashgan millatlar tashkilotining inson huquqlari umumiy deklaratsiyasi</w:t>
      </w:r>
      <w:r>
        <w:rPr>
          <w:rFonts w:ascii="Times New Roman" w:cs="Times New Roman" w:eastAsia="Times New Roman" w:hAnsi="Times New Roman"/>
          <w:b/>
          <w:bCs/>
          <w:color w:val="000000"/>
          <w:sz w:val="32"/>
          <w:szCs w:val="32"/>
          <w:lang w:val="en-US" w:eastAsia="ru-RU"/>
        </w:rPr>
        <w:t xml:space="preserve"> </w:t>
      </w:r>
      <w:r>
        <w:rPr>
          <w:rFonts w:ascii="Times New Roman" w:cs="Times New Roman" w:eastAsia="Times New Roman" w:hAnsi="Times New Roman"/>
          <w:color w:val="000000"/>
          <w:sz w:val="32"/>
          <w:szCs w:val="32"/>
          <w:lang w:val="en-US" w:eastAsia="ru-RU"/>
        </w:rPr>
        <w:t xml:space="preserve">— BMT Bosh Assambleyasi tomonidan 1948 yil 10 </w:t>
      </w:r>
      <w:r>
        <w:rPr>
          <w:rFonts w:ascii="Times New Roman" w:cs="Times New Roman" w:eastAsia="Times New Roman" w:hAnsi="Times New Roman"/>
          <w:color w:val="000000"/>
          <w:sz w:val="32"/>
          <w:szCs w:val="32"/>
          <w:lang w:val="en-US" w:eastAsia="ru-RU"/>
        </w:rPr>
        <w:t>dekabrda qabul qilingan deklaratsiya</w:t>
      </w:r>
      <w:r>
        <w:rPr/>
        <w:fldChar w:fldCharType="begin"/>
      </w:r>
      <w:r>
        <w:instrText xml:space="preserve"> HYPERLINK \l "bookmark45" \o "Current Document" </w:instrText>
      </w:r>
      <w:r>
        <w:rPr/>
        <w:fldChar w:fldCharType="separate"/>
      </w:r>
      <w:r>
        <w:rPr>
          <w:rFonts w:ascii="Times New Roman" w:cs="Times New Roman" w:eastAsia="Times New Roman" w:hAnsi="Times New Roman"/>
          <w:color w:val="0563c1"/>
          <w:sz w:val="32"/>
          <w:szCs w:val="32"/>
          <w:u w:val="single"/>
          <w:vertAlign w:val="superscript"/>
          <w:lang w:eastAsia="ru-RU"/>
        </w:rPr>
        <w:footnoteReference w:id="2"/>
      </w:r>
      <w:r>
        <w:rPr/>
        <w:fldChar w:fldCharType="end"/>
      </w:r>
      <w:r>
        <w:rPr>
          <w:rFonts w:ascii="Times New Roman" w:cs="Times New Roman" w:eastAsia="Times New Roman" w:hAnsi="Times New Roman"/>
          <w:color w:val="000000"/>
          <w:sz w:val="32"/>
          <w:szCs w:val="32"/>
          <w:lang w:val="en-US" w:eastAsia="ru-RU"/>
        </w:rPr>
        <w:t>. U muqaddima va 30 moddadan iborat bo‘lib, uni qabul qilishdan maqsad har bir inson va davlat mazkur Deklaratsiyani nazarda tutgan holda ma’rifat va ta’lim orqali shu huquq va erkinliklar hurmat qilinishiga kumaklashishi lozim. Deklaratsiya har bir insonning tabiiy va ajralmas huquq va erkinliklari e’lon etilgan asosiy xalqaro hujjatdir. Shu tariqa xalqaro munosabatlar tarixida birinchi marta insonning hamma rioya etishi zarur bo‘lgan asosiy huquqlari va erkinliklari doirasi belgilab berilgan. Deklaratsiyada "insoniyat oilasining hamma a’zolariga xos qadrqimmatni, ularning teng va ajralmas huquqlarini tan olish — erkinlik, adolat va yalpi tinchlik negizi" ekanligi e’lon etilgan. Unga ko‘ra, umum hurmat va rioya qilishi shart bo‘lgan inson huquklari doirasi shaxsiy, siyosiy hamda ijtimoiyiqtisodiy huquqlardan iboratdir.</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Shaxsiy huquklar orasida avvalo har bir kishining hayoti, erkinligi va shaxsiy daxlsizligi huquqi alohida ta’kidlangan. Deklaratsiyaning boshqa qoidalari esa mazkur huquqlarni to‘ldiradi. Xususan, hech kim qullikda, zabun holatda tutilmasligi, qiynoqqa yoxud ayovsiz, g‘ayriinsoniy, odam sha’nini yerga uradigan muomala va jazoga duchor etilmasligi; o‘zboshimchalik bilan qamoqqa olinmasligi, ushlab turilmasligi lozim ekanligi qayd etilgan. Shaxs huquklari sirasiga shaxsiy va oilaviy hayotning, turar joyning daxlsizligi huquqi, yozishmalarni sir saklash huquqi, o‘z sha’ni va obro‘sini himoya qilish huquqi, odil sudlov tomonidan muhofaza etilish huquki kabilar kiradi (3— 5, 8—12moddalar).</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Deklaratsiyada insonning quyidagi siyosiy huquklari hamda erkinliklari ham ta’kidlangan: fiqolash, vijdon, din erkinligi; e’tiqod erkinligi va uni erkin ifodalash huquqi; tinch yig‘ilishlar o‘tkazish hamda uyushmalarga a’zo bo‘lish h&gt;’kuqi; o‘z mamlakatini boshqarishda qatnashish huquqi; yashirin ovoz berish yo‘li bilan umumiy va teng saylash huquqi; erkin ravishda ko‘chib yurish hamda o‘ziga turar joy tanlash huquqi; boshpana huquqi; milliy yoki diniy alomat bo‘yicha hech bir cheklovsiz nikohdan o‘tish va oila qurish huquqi; mulkka egalik qilish </w:t>
      </w:r>
      <w:r>
        <w:rPr>
          <w:rFonts w:ascii="Times New Roman" w:cs="Times New Roman" w:eastAsia="Times New Roman" w:hAnsi="Times New Roman"/>
          <w:color w:val="000000"/>
          <w:sz w:val="32"/>
          <w:szCs w:val="32"/>
          <w:lang w:val="en-US" w:eastAsia="ru-RU"/>
        </w:rPr>
        <w:t>huquqi (13— 21moddalar).</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Mehnat qilish huquqi, adolatli va yetarli ravishda takdirlanish hamda mehnat uchun teng mehnat haqi olish huquqi, kasaba uyushmalari tuzish huquqi; dam olish huquqi; ijtimoiy ta’minlanish huquqi; onalik va bolalikni alohida himoyalash huquqi; ta’lim olish va madaniy hayotda qatnashish huquqi (22—27moddalar) insonning asosiy ijtimoiyiqtisodiy huquqlari hisoblanadi.</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Deklaratsiyada inson manfaatlarining ustuvorligi quyidagi tamoyillarda o‘z aksini topgan: inson huquqlarini hurmat qilish, inson huquqlarining tengligi, inson erkinliklari, inson huquqlarini amalga oshirishning demokratik jarayoni, inson huquqlarini ta’minlashnmg adolatligi. Deklaratsiyada e’lon etilgan mazkur inson huquqlariga oid tamoyillarga kura barcha kishilar erkin tug‘iladi va o‘z qadrqimmati hamda huquqlari jihatdan teng bo‘lib, ular qonun oldida teng va qonun tomonidan babbaravar himoyalanish huquqiga ega (1, 2, 7moddalar).</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Mazkur Deklaratsiya qoidalari davlat yoki ayrim shaxslar tomonidan inson huquqlarini buzish uchun ishlatilishi mumkin emas. Har bir shaxs uchun o‘zgalarning huquq va erkinliklarini hurmat qilish jamiyat a’zolarining burchidir.</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Ushbu Deklaratsiya mustaqil O‘zbekiston Respublikasi imzolagan birinchi xalqaro hujjatdir (1991 yil 30 sentabr). O‘zbekiston Respublikasi Konstitutsiyasining "Inson va fuqarolarning asosiy huquqlari, erkinliklari va burchlari" deb atalgan 2bo‘limi mazkur Deklaratsiya talablariga to‘la moye bo‘lib, unda O‘zR barcha fuqarolari teng huquq va erkinliklarga ega bo‘lishi, jinsi, irqi, millati, tili, dini, ijtimoiy kelib chiqishi, e’tiqodi, shaxsi va ijtimoiy mavqeidan qati nazar, qonun oddida tengligi ta’kidlangan. Respublikada inson huquqlariga oid 100 dan ortiq qonunlar qabul qilingan va ular xalqaro me’yorlar va andozalarga muvofiqlashtirilgan. "Inson huquqlari bo‘yicha Oliy Majlis vakili (ombudsmen) to‘g‘risida" qonun qabul qilingan (1997 yil 24 aprel). Inson hukuqlariga rioya etilishi ustidan monitoring va nazoratni ta’minlovchi milliy intlar — Inson huquqlari bo‘yicha milliy markaz va Amaldagi qonun hujjatlari monitoringi instituti ishlab turibdi. Toshkent shahrida hukumatga qarashli bo‘lmagan "Xyuman Rayts Votch Xelsinki" xalqaro </w:t>
      </w:r>
      <w:r>
        <w:rPr>
          <w:rFonts w:ascii="Times New Roman" w:cs="Times New Roman" w:eastAsia="Times New Roman" w:hAnsi="Times New Roman"/>
          <w:color w:val="000000"/>
          <w:sz w:val="32"/>
          <w:szCs w:val="32"/>
          <w:lang w:val="en-US" w:eastAsia="ru-RU"/>
        </w:rPr>
        <w:t>tashkilotining vakili, chet el ommaviy axborot vositalarining vakillari faoliyat ko‘rsatmoqda hamda huquqni muhofaza qiluvchi boshqa xalqaro tashkilotlar bilan yaqin aloqa o‘matilgan.</w:t>
      </w:r>
    </w:p>
    <w:p>
      <w:pPr>
        <w:pStyle w:val="style0"/>
        <w:widowControl w:val="false"/>
        <w:spacing w:after="0" w:lineRule="auto" w:line="276"/>
        <w:ind w:firstLine="600"/>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b/>
          <w:bCs/>
          <w:color w:val="000000"/>
          <w:sz w:val="32"/>
          <w:szCs w:val="32"/>
          <w:lang w:eastAsia="ru-RU"/>
        </w:rPr>
        <w:t>Nazorat savollari</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ishda inson huquqlari masalasi.</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AQSh da gender tengligi siyosati mexanizmi haqida ma’lumot bering?</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Bandlik sohasidagi tenglik haqida nimalar bilasiz?</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Ta’lim huquqi</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1965 yilda Garvard universitetining gumanitar bo‘limlaridagi 435 ta professorlari ichida nechtasi ayol edi?.</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Amerika tarixida ish beruvchilar tomonidan jinsiy belgisiga ko‘ra tahqirlashini cheklaydigan birinchi yuridik hujjat qaysi?</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Amerikada teng mehnat uchun teng haq to‘lash haqidagi qonun qachon qabul qilingan?</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Madaniy bilimdonlik bii...</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Kuchli taraflar istiqbollar</w:t>
      </w:r>
      <w:bookmarkStart w:id="2" w:name="_GoBack"/>
      <w:bookmarkEnd w:id="2"/>
      <w:r>
        <w:rPr>
          <w:rFonts w:ascii="Times New Roman" w:cs="Times New Roman" w:eastAsia="Times New Roman" w:hAnsi="Times New Roman"/>
          <w:color w:val="000000"/>
          <w:sz w:val="32"/>
          <w:szCs w:val="32"/>
          <w:lang w:eastAsia="ru-RU"/>
        </w:rPr>
        <w:t>i bu.</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Zilmga (tahqirlashga) qarshi harakatlar bi.</w:t>
      </w:r>
    </w:p>
    <w:bookmarkStart w:id="3" w:name="bookmark93"/>
    <w:p>
      <w:pPr>
        <w:pStyle w:val="style0"/>
        <w:widowControl w:val="false"/>
        <w:spacing w:after="0" w:lineRule="auto" w:line="276"/>
        <w:ind w:firstLine="6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
          <w:bCs/>
          <w:color w:val="000000"/>
          <w:sz w:val="32"/>
          <w:szCs w:val="32"/>
          <w:lang w:val="en-US" w:eastAsia="ru-RU"/>
        </w:rPr>
        <w:t xml:space="preserve">Tayanch tushunchalar: </w:t>
      </w:r>
      <w:r>
        <w:rPr>
          <w:rFonts w:ascii="Times New Roman" w:cs="Times New Roman" w:eastAsia="Times New Roman" w:hAnsi="Times New Roman"/>
          <w:color w:val="000000"/>
          <w:sz w:val="32"/>
          <w:szCs w:val="32"/>
          <w:lang w:val="en-US" w:eastAsia="ru-RU"/>
        </w:rPr>
        <w:t>inson hiqiqlari, intervensiya, gender tengligi, ayollar emansipatsiyasi, feministik harakat, liberal harakat, “imimiy farovonlik davlati”, zilmga qarshi harakatlar</w:t>
      </w:r>
      <w:bookmarkEnd w:id="3"/>
      <w:r>
        <w:rPr>
          <w:rFonts w:ascii="Times New Roman" w:cs="Times New Roman" w:eastAsia="Times New Roman" w:hAnsi="Times New Roman"/>
          <w:color w:val="000000"/>
          <w:sz w:val="32"/>
          <w:szCs w:val="32"/>
          <w:lang w:val="en-US" w:eastAsia="ru-RU"/>
        </w:rPr>
        <w:t>.</w:t>
      </w:r>
    </w:p>
    <w:p>
      <w:pPr>
        <w:pStyle w:val="style0"/>
        <w:rPr>
          <w:lang w:val="en-US"/>
        </w:rPr>
      </w:pPr>
    </w:p>
    <w:sectPr>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cc"/>
    <w:family w:val="roman"/>
    <w:pitch w:val="variable"/>
    <w:sig w:usb0="E0002EFF" w:usb1="C0007843" w:usb2="00000009" w:usb3="00000000" w:csb0="000001FF" w:csb1="00000000"/>
  </w:font>
  <w:font w:name="Calibri">
    <w:altName w:val="Calibri"/>
    <w:panose1 w:val="020f0502020002030204"/>
    <w:charset w:val="cc"/>
    <w:family w:val="swiss"/>
    <w:pitch w:val="variable"/>
    <w:sig w:usb0="E00002FF" w:usb1="4000ACFF" w:usb2="00000001" w:usb3="00000000" w:csb0="0000019F" w:csb1="00000000"/>
  </w:font>
  <w:font w:name="Calibri Light">
    <w:altName w:val="Calibri Light"/>
    <w:panose1 w:val="020f0302020002030204"/>
    <w:charset w:val="cc"/>
    <w:family w:val="swiss"/>
    <w:pitch w:val="variable"/>
    <w:sig w:usb0="A00002EF" w:usb1="4000207B" w:usb2="00000000" w:usb3="00000000" w:csb0="0000019F" w:csb1="00000000"/>
  </w:font>
</w:fonts>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footnote w:id="1">
    <w:p>
      <w:pPr>
        <w:pStyle w:val="style0"/>
        <w:rPr>
          <w:lang w:val="en-US"/>
        </w:rPr>
      </w:pPr>
      <w:bookmarkStart w:id="4" w:name="bookmark43"/>
      <w:r>
        <w:rPr>
          <w:rFonts w:cs="Calibri"/>
          <w:vertAlign w:val="superscript"/>
        </w:rPr>
        <w:footnoteRef/>
      </w:r>
      <w:r>
        <w:rPr>
          <w:rFonts w:cs="Calibri"/>
          <w:lang w:val="en-US"/>
        </w:rPr>
        <w:t xml:space="preserve"> </w:t>
      </w:r>
      <w:r>
        <w:rPr>
          <w:lang w:val="en-US"/>
        </w:rPr>
        <w:t>KopHromuHa P.B. 3apy6e&gt;KHbiH onwm coHuaabHoii paoornbi. BnaguBOCTOK: H3g. ^aabHeBOcmoHHoro yHUBepcumema 2004.-85 c.</w:t>
      </w:r>
      <w:bookmarkEnd w:id="4"/>
    </w:p>
    <w:bookmarkStart w:id="5" w:name="bookmark45"/>
  </w:footnote>
  <w:footnote w:id="2">
    <w:p>
      <w:pPr>
        <w:pStyle w:val="style0"/>
        <w:rPr>
          <w:lang w:val="en-US"/>
        </w:rPr>
      </w:pPr>
      <w:r>
        <w:rPr>
          <w:rFonts w:cs="Calibri"/>
          <w:sz w:val="13"/>
          <w:szCs w:val="13"/>
          <w:vertAlign w:val="superscript"/>
        </w:rPr>
        <w:footnoteRef/>
      </w:r>
      <w:r>
        <w:rPr>
          <w:rFonts w:cs="Calibri"/>
          <w:sz w:val="13"/>
          <w:szCs w:val="13"/>
          <w:lang w:val="en-US"/>
        </w:rPr>
        <w:t xml:space="preserve"> </w:t>
      </w:r>
      <w:r>
        <w:rPr/>
        <w:fldChar w:fldCharType="begin"/>
      </w:r>
      <w:r>
        <w:instrText xml:space="preserve"> HYPERLINK "https://uz.wikipedia.org/wiki/Inson_huquqlari_umumiy_deklaratsiyasi" </w:instrText>
      </w:r>
      <w:r>
        <w:rPr/>
        <w:fldChar w:fldCharType="separate"/>
      </w:r>
      <w:r>
        <w:rPr>
          <w:lang w:val="en-US"/>
        </w:rPr>
        <w:t>https://uz.wikipedia.org/wiki/Inson_huquqlari_umumiy_deklaratsiyasi</w:t>
      </w:r>
      <w:bookmarkEnd w:id="5"/>
      <w:r>
        <w:rPr/>
        <w:fldChar w:fldCharType="end"/>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DEC83C0"/>
    <w:lvl w:ilvl="0">
      <w:start w:val="1"/>
      <w:numFmt w:val="bullet"/>
      <w:lvlText w:val="•"/>
      <w:lvlJc w:val="left"/>
      <w:pPr/>
      <w:rPr>
        <w:rFonts w:ascii="Times New Roman" w:cs="Times New Roman" w:eastAsia="Times New Roman" w:hAnsi="Times New Roman"/>
        <w:b w:val="false"/>
        <w:bCs w:val="false"/>
        <w:i w:val="false"/>
        <w:iCs w:val="false"/>
        <w:smallCaps w:val="false"/>
        <w:color w:val="202122"/>
        <w:spacing w:val="0"/>
        <w:w w:val="100"/>
        <w:position w:val="0"/>
        <w:sz w:val="22"/>
        <w:szCs w:val="2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
    <w:nsid w:val="00000001"/>
    <w:multiLevelType w:val="multilevel"/>
    <w:tmpl w:val="293E8150"/>
    <w:lvl w:ilvl="0">
      <w:start w:val="1"/>
      <w:numFmt w:val="decimal"/>
      <w:lvlText w:val="%1."/>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
    <w:nsid w:val="00000002"/>
    <w:multiLevelType w:val="multilevel"/>
    <w:tmpl w:val="37AE6488"/>
    <w:lvl w:ilvl="0">
      <w:start w:val="1"/>
      <w:numFmt w:val="decimal"/>
      <w:lvlText w:val="%1."/>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num w:numId="1">
    <w:abstractNumId w:val="1"/>
  </w:num>
  <w:num w:numId="2">
    <w:abstractNumId w:val="0"/>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notes" Target="footnotes.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3185</Words>
  <Pages>13</Pages>
  <Characters>23591</Characters>
  <Application>WPS Office</Application>
  <DocSecurity>0</DocSecurity>
  <Paragraphs>74</Paragraphs>
  <ScaleCrop>false</ScaleCrop>
  <LinksUpToDate>false</LinksUpToDate>
  <CharactersWithSpaces>26710</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2026-01-06T13:32:00Z</dcterms:created>
  <dc:creator>Samsung</dc:creator>
  <lastModifiedBy>BTK-W09</lastModifiedBy>
  <dcterms:modified xsi:type="dcterms:W3CDTF">2026-01-06T14:05:46Z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f35957bdec1946e786eb670b74dc0858</vt:lpwstr>
  </property>
</Properties>
</file>