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56"/>
        </w:rPr>
        <w:t>Aurora Finance</w:t>
      </w:r>
    </w:p>
    <w:p>
      <w:pPr>
        <w:jc w:val="center"/>
      </w:pPr>
      <w:r>
        <w:rPr>
          <w:b/>
          <w:color w:val="2E75B6"/>
          <w:sz w:val="36"/>
        </w:rPr>
        <w:t>ML-Driven Corporate Finance Decisions</w:t>
      </w:r>
    </w:p>
    <w:p/>
    <w:p>
      <w:pPr>
        <w:jc w:val="center"/>
      </w:pPr>
      <w:r>
        <w:rPr>
          <w:i/>
          <w:color w:val="505050"/>
          <w:sz w:val="28"/>
        </w:rPr>
        <w:t>Capstone Project Report</w:t>
      </w:r>
    </w:p>
    <w:p/>
    <w:p/>
    <w:p>
      <w:pPr>
        <w:jc w:val="center"/>
      </w:pPr>
      <w:r>
        <w:rPr>
          <w:b/>
          <w:sz w:val="22"/>
        </w:rPr>
        <w:t xml:space="preserve">Institution: </w:t>
      </w:r>
      <w:r>
        <w:rPr>
          <w:sz w:val="22"/>
        </w:rPr>
        <w:t>IIT Bombay — Executive PGD</w:t>
      </w:r>
    </w:p>
    <w:p>
      <w:pPr>
        <w:jc w:val="center"/>
      </w:pPr>
      <w:r>
        <w:rPr>
          <w:b/>
          <w:sz w:val="22"/>
        </w:rPr>
        <w:t xml:space="preserve">Company: </w:t>
      </w:r>
      <w:r>
        <w:rPr>
          <w:sz w:val="22"/>
        </w:rPr>
        <w:t>Aurora Finance (Fictional)</w:t>
      </w:r>
    </w:p>
    <w:p>
      <w:pPr>
        <w:jc w:val="center"/>
      </w:pPr>
      <w:r>
        <w:rPr>
          <w:b/>
          <w:sz w:val="22"/>
        </w:rPr>
        <w:t xml:space="preserve">Date: </w:t>
      </w:r>
      <w:r>
        <w:rPr>
          <w:sz w:val="22"/>
        </w:rPr>
        <w:t>May 2026</w:t>
      </w:r>
    </w:p>
    <w:p>
      <w:pPr>
        <w:jc w:val="center"/>
      </w:pPr>
      <w:r>
        <w:rPr>
          <w:b/>
          <w:sz w:val="22"/>
        </w:rPr>
        <w:t xml:space="preserve">Modules: </w:t>
      </w:r>
      <w:r>
        <w:rPr>
          <w:sz w:val="22"/>
        </w:rPr>
        <w:t>Corporate Finance  |  Banking  |  Financial Markets  |  Derivatives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Executive Summary</w:t>
      </w:r>
    </w:p>
    <w:p>
      <w:pPr>
        <w:spacing w:before="80" w:after="80"/>
        <w:pBdr>
          <w:bottom w:val="single" w:sz="6" w:space="1" w:color="1F3864"/>
        </w:pBdr>
      </w:pPr>
    </w:p>
    <w:p>
      <w:pPr>
        <w:spacing w:after="80" w:before="40"/>
      </w:pPr>
      <w:r>
        <w:rPr>
          <w:b w:val="0"/>
          <w:i w:val="0"/>
          <w:sz w:val="20"/>
        </w:rPr>
        <w:t>Aurora Finance is a fictional financial services firm facing four core decision-making challenges across its business lines. This capstone project applies machine learning end-to-end — from raw data to actionable financial decisions — across Corporate Finance, Banking, Financial Markets, and Derivatives.</w:t>
      </w:r>
    </w:p>
    <w:p>
      <w:pPr>
        <w:spacing w:after="80" w:before="40"/>
      </w:pPr>
      <w:r>
        <w:rPr>
          <w:b w:val="0"/>
          <w:i w:val="0"/>
          <w:sz w:val="20"/>
        </w:rPr>
        <w:t>Each module is self-contained, uses domain-appropriate validation strategy, and produces business-ready outputs: ranked project lists, lending decisions, portfolio allocation signals, and options prices. A unifying theme across all four modules is the primacy of domain knowledge — financial theory guides feature engineering, evaluation metrics are chosen to match business consequences, and leakage prevention is enforced at every stage.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Business Problem</w:t>
            </w:r>
          </w:p>
        </w:tc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ML Approach</w:t>
            </w:r>
          </w:p>
        </w:tc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Outcome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— Corporate Finance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Which projects to fund?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Regression + Classification (LOOCV)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50 projects ranked; Ridge selected; top picks identified via EV &amp; RAR</w:t>
            </w:r>
          </w:p>
        </w:tc>
      </w:tr>
      <w:tr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 — Banking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Which loans to approve? Who is committing fraud?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PD Regression → Risk Scoring → Ensemble Fraud Detection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74 approved, 26 rejected; 197 fraud alerts (71 RED, 126 AMBER)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 — Financial Markets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Which stocks to buy?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XGBoost + LightGBM + RF Ensemble + Max-Sharpe Optimisation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All 6 stocks STRONG SELL; cash outperformed market by 35.9%</w:t>
            </w:r>
          </w:p>
        </w:tc>
      </w:tr>
      <w:tr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4 — Derivatives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How to price NIFTY options accurately?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Hybrid XGBoost + Black-Scholes (walk-forward)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Call R² = 0.9984, Put R² = 0.9989; BS bias corrected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3864"/>
        </w:rPr>
        <w:t>Module 1 — Corporate Project Funding</w:t>
      </w:r>
    </w:p>
    <w:p>
      <w:pPr>
        <w:spacing w:before="80" w:after="80"/>
        <w:pBdr>
          <w:bottom w:val="single" w:sz="6" w:space="1" w:color="1F3864"/>
        </w:pBdr>
      </w:pPr>
    </w:p>
    <w:p>
      <w:pPr>
        <w:pStyle w:val="Heading2"/>
        <w:jc w:val="left"/>
      </w:pPr>
      <w:r>
        <w:rPr>
          <w:color w:val="1F3864"/>
        </w:rPr>
        <w:t>1.1  Problem Statement / Objective</w:t>
      </w:r>
    </w:p>
    <w:p>
      <w:pPr>
        <w:spacing w:after="80" w:before="40"/>
      </w:pPr>
      <w:r>
        <w:rPr>
          <w:b w:val="0"/>
          <w:i w:val="0"/>
          <w:sz w:val="20"/>
        </w:rPr>
        <w:t>Aurora Finance's investment committee must allocate limited capital across a pool of internal projects with competing priorities. The challenge is three-fold:</w:t>
      </w:r>
    </w:p>
    <w:p>
      <w:pPr>
        <w:pStyle w:val="ListBullet"/>
        <w:spacing w:after="40"/>
        <w:ind w:left="432"/>
      </w:pPr>
      <w:r>
        <w:rPr>
          <w:sz w:val="20"/>
        </w:rPr>
        <w:t>Task 1 — Cash Flow Forecasting: Predict the total 3-year cash flow for each project so the committee can estimate financial value before committing funds.</w:t>
      </w:r>
    </w:p>
    <w:p>
      <w:pPr>
        <w:pStyle w:val="ListBullet"/>
        <w:spacing w:after="40"/>
        <w:ind w:left="432"/>
      </w:pPr>
      <w:r>
        <w:rPr>
          <w:sz w:val="20"/>
        </w:rPr>
        <w:t>Task 2 — Success Classification: Predict whether a project will generate positive NPV and assign a risk score using domain-driven financial features.</w:t>
      </w:r>
    </w:p>
    <w:p>
      <w:pPr>
        <w:pStyle w:val="ListBullet"/>
        <w:spacing w:after="40"/>
        <w:ind w:left="432"/>
      </w:pPr>
      <w:r>
        <w:rPr>
          <w:sz w:val="20"/>
        </w:rPr>
        <w:t>Task 3 — Capital Allocation: Rank and recommend projects based on Expected Value (EV) and Risk-Adjusted Return (RAR), providing an executive-ready priority list.</w:t>
      </w:r>
    </w:p>
    <w:p/>
    <w:p>
      <w:pPr>
        <w:pStyle w:val="Heading2"/>
        <w:jc w:val="left"/>
      </w:pPr>
      <w:r>
        <w:rPr>
          <w:color w:val="1F3864"/>
        </w:rPr>
        <w:t>1.2  Dataset Description</w:t>
      </w:r>
    </w:p>
    <w:p>
      <w:pPr>
        <w:spacing w:after="80" w:before="40"/>
      </w:pPr>
      <w:r>
        <w:rPr>
          <w:b w:val="0"/>
          <w:i w:val="0"/>
          <w:sz w:val="20"/>
        </w:rPr>
        <w:t>The dataset contains 50 historical corporate projects with investment details, expected cash flows over 3 years, risk ratings, and department tags. This is a small-n setting that significantly constrains model complexity choices.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Source file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sample_data/corporate_projects.csv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Rows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50 projects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Departments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Finance, Marketing, Operations, Technology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Risk levels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Low / Medium / High (roughly balanced)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Key raw columns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Project_ID, Investment_Cost, Expected_Cashflow_Year1/2/3, Project_Risk, Historical_ROI, Market_Growth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Target (Task 1)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Total_Cashflow = sum of 3-year cashflows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Target (Task 2)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Binary: NPV &gt; 0 → Success = 1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1.3  Methodology / Approach</w:t>
      </w:r>
    </w:p>
    <w:p>
      <w:pPr>
        <w:spacing w:after="80" w:before="40"/>
      </w:pPr>
      <w:r>
        <w:rPr>
          <w:b w:val="0"/>
          <w:i w:val="0"/>
          <w:sz w:val="20"/>
        </w:rPr>
        <w:t>Given only 50 samples, the central design constraint is the samples-to-features ratio. A minimum ratio of 10:1 was enforced — meaning at most 5 features for regression (Task 1) and 5 domain-derived features for classification (Task 2). Using raw columns directly would have resulted in a 4:1 ratio, almost guaranteeing overfit.</w:t>
      </w:r>
    </w:p>
    <w:p>
      <w:pPr>
        <w:spacing w:after="80" w:before="40"/>
      </w:pPr>
      <w:r>
        <w:rPr>
          <w:b/>
          <w:i w:val="0"/>
          <w:sz w:val="20"/>
        </w:rPr>
        <w:t>Task 1 — Regression Pipeline:</w:t>
      </w:r>
    </w:p>
    <w:p>
      <w:pPr>
        <w:pStyle w:val="ListBullet"/>
        <w:spacing w:after="40"/>
        <w:ind w:left="432"/>
      </w:pPr>
      <w:r>
        <w:rPr>
          <w:sz w:val="20"/>
        </w:rPr>
        <w:t>Four features selected: Investment_Cost, Risk_Score (ordinal), Historical_ROI, Market_Adjusted_ROI (interaction term).</w:t>
      </w:r>
    </w:p>
    <w:p>
      <w:pPr>
        <w:pStyle w:val="ListBullet"/>
        <w:spacing w:after="40"/>
        <w:ind w:left="432"/>
      </w:pPr>
      <w:r>
        <w:rPr>
          <w:sz w:val="20"/>
        </w:rPr>
        <w:t>Three models compared: Ridge Regression (RidgeCV), KNN (k=5, distance-weighted), Random Forest Regressor.</w:t>
      </w:r>
    </w:p>
    <w:p>
      <w:pPr>
        <w:pStyle w:val="ListBullet"/>
        <w:spacing w:after="40"/>
        <w:ind w:left="432"/>
      </w:pPr>
      <w:r>
        <w:rPr>
          <w:sz w:val="20"/>
        </w:rPr>
        <w:t>Validation: Leave-One-Out Cross-Validation (LOOCV) — the gold standard for n &lt; 100. Each of the 50 projects is left out once; the model trains on the remaining 49.</w:t>
      </w:r>
    </w:p>
    <w:p>
      <w:pPr>
        <w:pStyle w:val="ListBullet"/>
        <w:spacing w:after="40"/>
        <w:ind w:left="432"/>
      </w:pPr>
      <w:r>
        <w:rPr>
          <w:sz w:val="20"/>
        </w:rPr>
        <w:t>Benchmark: LOOCV-correct naive baseline (predicting the training fold mean for the held-out sample) — more honest than a global mean baseline.</w:t>
      </w:r>
    </w:p>
    <w:p>
      <w:pPr>
        <w:spacing w:after="80" w:before="40"/>
      </w:pPr>
      <w:r>
        <w:rPr>
          <w:b/>
          <w:i w:val="0"/>
          <w:sz w:val="20"/>
        </w:rPr>
        <w:t>Task 2 — Classification Pipeline:</w:t>
      </w:r>
    </w:p>
    <w:p>
      <w:pPr>
        <w:pStyle w:val="ListBullet"/>
        <w:spacing w:after="40"/>
        <w:ind w:left="432"/>
      </w:pPr>
      <w:r>
        <w:rPr>
          <w:sz w:val="20"/>
        </w:rPr>
        <w:t>Five domain-driven financial features constructed from theory (Profitability Index, CF Trajectory, IRR Spread, Risk-Adjusted Profitability, Capital Efficiency).</w:t>
      </w:r>
    </w:p>
    <w:p>
      <w:pPr>
        <w:pStyle w:val="ListBullet"/>
        <w:spacing w:after="40"/>
        <w:ind w:left="432"/>
      </w:pPr>
      <w:r>
        <w:rPr>
          <w:sz w:val="20"/>
        </w:rPr>
        <w:t>Models: Logistic Regression, Random Forest Classifier, SVM. Validated with 5-fold stratified CV; primary metric: AUC-ROC.</w:t>
      </w:r>
    </w:p>
    <w:p/>
    <w:p>
      <w:pPr>
        <w:pStyle w:val="Heading2"/>
        <w:jc w:val="left"/>
      </w:pPr>
      <w:r>
        <w:rPr>
          <w:color w:val="1F3864"/>
        </w:rPr>
        <w:t>1.4  Data Preprocessing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Target construction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Total_Cashflow = CF_Y1 + CF_Y2 + CF_Y3; source columns dropped immediately to prevent leakage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Risk encoding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Project_Risk mapped ordinally: Low=1, Medium=2, High=3 (order is meaningful)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Interaction feature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Market_Adjusted_ROI = Historical_ROI × (1 + Market_Growth) — captures ROI amplified by sector conditions in one term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NPV computation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Discounted at 10% hurdle rate; used as input to classification features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IRR computation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Newton-Raphson iteration on 3-year cashflow stream; used to compute IRR Spread feature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Feature scaling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StandardScaler inside sklearn Pipeline — scaler fit only on training fold, never on test data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LOOCV sanity check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Assert that number of splits equals n_samples; first 3 folds printed for traceability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1.5  Model Implementation / Details</w:t>
      </w:r>
    </w:p>
    <w:p>
      <w:pPr>
        <w:spacing w:after="80" w:before="40"/>
      </w:pPr>
      <w:r>
        <w:rPr>
          <w:b/>
          <w:i w:val="0"/>
          <w:sz w:val="20"/>
        </w:rPr>
        <w:t>Task 1 Regression Models: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Hyperparameters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Ridge (RidgeCV)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α ∈ log-space [0.01, 10,000], 5-fold inner CV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Regularised linear; interpretable; handles multicollinearity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KNN (k=5)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distance-weighted neighbours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Non-parametric; sensitive to feature scale → needs StandardScaler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Random Forest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300 trees, max_depth=3, min_samples_leaf=5, max_features=0.6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Shallow trees to prevent overfit on n=50; used for SHAP</w:t>
            </w:r>
          </w:p>
        </w:tc>
      </w:tr>
    </w:tbl>
    <w:p/>
    <w:p>
      <w:pPr>
        <w:spacing w:after="80" w:before="40"/>
      </w:pPr>
      <w:r>
        <w:rPr>
          <w:b/>
          <w:i w:val="0"/>
          <w:sz w:val="20"/>
        </w:rPr>
        <w:t>Task 2 Domain-Driven Features: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Financial Meaning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F1 — Profitability Index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NPV / Investment_Cost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Return per dollar invested; &gt;0 = value-creating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F2 — CF Trajectory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(CF_Y3 − CF_Y1) / |CF_Y1|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Captures shape: growing vs front-loaded cashflows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F3 — IRR Spread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IRR − 10% hurdle rate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Excess return above Aurora's minimum threshold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F4 — Risk-Adjusted PI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Profitability Index / Risk_Num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Combines return quality and risk into one signal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F5 — Capital Efficiency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NPV / (Investment_Cost × Duration)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Value generated per dollar per year</w:t>
            </w:r>
          </w:p>
        </w:tc>
      </w:tr>
    </w:tbl>
    <w:p/>
    <w:p/>
    <w:p>
      <w:pPr>
        <w:pStyle w:val="Heading2"/>
        <w:jc w:val="left"/>
      </w:pPr>
      <w:r>
        <w:rPr>
          <w:color w:val="1F3864"/>
        </w:rPr>
        <w:t>1.6  Results and Observations</w:t>
      </w:r>
    </w:p>
    <w:p>
      <w:pPr>
        <w:spacing w:after="80" w:before="40"/>
      </w:pPr>
      <w:r>
        <w:rPr>
          <w:b/>
          <w:i w:val="0"/>
          <w:sz w:val="20"/>
        </w:rPr>
        <w:t>Task 1 — LOOCV Regression Results:</w:t>
      </w:r>
    </w:p>
    <w:p>
      <w:pPr>
        <w:spacing w:after="80" w:before="40"/>
      </w:pPr>
      <w:r>
        <w:rPr>
          <w:b w:val="0"/>
          <w:i w:val="0"/>
          <w:sz w:val="20"/>
        </w:rPr>
        <w:t>Ridge Regression achieved the lowest LOOCV MAE and was selected as the production model. The maximum Pearson correlation between any feature and the target was 0.27, reflecting low feature signal — consistent with real-world project funding datasets where outcomes depend on many unobservable factors. Negative R² for KNN and Random Forest is expected and is not a failure; the relevant benchmark is whether the model beats the naive fold-mean baseline, which Ridge does.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vs Naive Baseline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Naive Baseline (fold mean)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Benchmark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MAE ≈ $3.9M; R² = 0.0 by construction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Ridge (RidgeCV) ✓ Winner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Beats baseline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Lowest LOOCV MAE; stable under weak signal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KNN (k=5)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Close to baseline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Sensitive to feature noise; marginal improvement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Random Forest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Moderate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Moderate; used for SHAP explainability</w:t>
            </w:r>
          </w:p>
        </w:tc>
      </w:tr>
    </w:tbl>
    <w:p/>
    <w:p>
      <w:pPr>
        <w:spacing w:after="80" w:before="40"/>
      </w:pPr>
      <w:r>
        <w:rPr>
          <w:b/>
          <w:i w:val="0"/>
          <w:sz w:val="20"/>
        </w:rPr>
        <w:t>SHAP Explainability — What Drives Cashflow Predictions:</w:t>
      </w:r>
    </w:p>
    <w:p>
      <w:pPr>
        <w:spacing w:after="80" w:before="40"/>
      </w:pPr>
      <w:r>
        <w:rPr>
          <w:b w:val="0"/>
          <w:i w:val="0"/>
          <w:sz w:val="20"/>
        </w:rPr>
        <w:t>SHAP (SHapley Additive exPlanations) values were computed on the Random Forest model fitted on all 50 projects. Investment_Cost is the dominant driver — larger projects generate larger total cashflows. Market_Adjusted_ROI is the second most important feature, confirming that sector conditions amplify or dampen project returns. Risk_Score pulls predictions downward for High Risk projects. Historical_ROI provides a smaller but consistent positive contribution.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75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model_evalu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7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6464"/>
          <w:sz w:val="18"/>
        </w:rPr>
        <w:t>Figure 1.1 — Module 1 Task 1: Actual vs Predicted cashflows, residual plots, and MAE comparison across models (LOOCV, n=50)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666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shap_plo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6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6464"/>
          <w:sz w:val="18"/>
        </w:rPr>
        <w:t>Figure 1.2 — Module 1 SHAP Analysis: Global feature importance (left) and per-project effect direction (right) for Random Forest</w:t>
      </w:r>
    </w:p>
    <w:p>
      <w:pPr>
        <w:spacing w:after="80" w:before="40"/>
      </w:pPr>
      <w:r>
        <w:rPr>
          <w:b/>
          <w:i w:val="0"/>
          <w:sz w:val="20"/>
        </w:rPr>
        <w:t>Task 2 — Classification &amp; Project Ranking:</w:t>
      </w:r>
    </w:p>
    <w:p>
      <w:pPr>
        <w:spacing w:after="80" w:before="40"/>
      </w:pPr>
      <w:r>
        <w:rPr>
          <w:b w:val="0"/>
          <w:i w:val="0"/>
          <w:sz w:val="20"/>
        </w:rPr>
        <w:t>Domain-driven features significantly improved classifier separability over using raw columns. Projects with IRR Spread &gt; 0 and Profitability Index &gt; 0.2 were consistently classified as successful. The ranked project list (below) combines EV score and Risk-Adjusted Return to give executives a single prioritised 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3400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classification_v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40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6464"/>
          <w:sz w:val="18"/>
        </w:rPr>
        <w:t>Figure 1.3 — Module 1 Task 2: Project success classification results — confusion matrices, ROC curves, and model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0021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ev_rar_ran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00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6464"/>
          <w:sz w:val="18"/>
        </w:rPr>
        <w:t>Figure 1.4 — Module 1 Task 3: Project ranking by Expected Value and Risk-Adjusted Return — executive recommendation dashboard</w:t>
      </w:r>
    </w:p>
    <w:p>
      <w:pPr>
        <w:pStyle w:val="Heading2"/>
        <w:jc w:val="left"/>
      </w:pPr>
      <w:r>
        <w:rPr>
          <w:color w:val="1F3864"/>
        </w:rPr>
        <w:t>1.7  Conclusion / Future Scope</w:t>
      </w:r>
    </w:p>
    <w:p>
      <w:pPr>
        <w:spacing w:after="80" w:before="40"/>
      </w:pPr>
      <w:r>
        <w:rPr>
          <w:b w:val="0"/>
          <w:i w:val="0"/>
          <w:sz w:val="20"/>
        </w:rPr>
        <w:t>Ridge regression is the recommended model for cashflow forecasting on this small dataset. It is regularised, interpretable, and degrades gracefully when feature signal is weak. Domain-driven classification features (NPV-derived) outperform raw column encoding by improving the sample-to-feature ratio from 4:1 to 10:1.</w:t>
      </w:r>
    </w:p>
    <w:p>
      <w:pPr>
        <w:pStyle w:val="ListBullet"/>
        <w:spacing w:after="40"/>
        <w:ind w:left="432"/>
      </w:pPr>
      <w:r>
        <w:rPr>
          <w:sz w:val="20"/>
        </w:rPr>
        <w:t>With more data (n &gt; 200): XGBoost or ensemble stacking would outperform Ridge.</w:t>
      </w:r>
    </w:p>
    <w:p>
      <w:pPr>
        <w:pStyle w:val="ListBullet"/>
        <w:spacing w:after="40"/>
        <w:ind w:left="432"/>
      </w:pPr>
      <w:r>
        <w:rPr>
          <w:sz w:val="20"/>
        </w:rPr>
        <w:t>Time-series decomposition of cashflow trajectories could improve multi-year forecasts.</w:t>
      </w:r>
    </w:p>
    <w:p>
      <w:pPr>
        <w:pStyle w:val="ListBullet"/>
        <w:spacing w:after="40"/>
        <w:ind w:left="432"/>
      </w:pPr>
      <w:r>
        <w:rPr>
          <w:sz w:val="20"/>
        </w:rPr>
        <w:t>Bayesian uncertainty quantification could replace point predictions with confidence intervals for the investment committee.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Module 2 — Banking: Loan Portfolio &amp; Fraud Detection</w:t>
      </w:r>
    </w:p>
    <w:p>
      <w:pPr>
        <w:spacing w:before="80" w:after="80"/>
        <w:pBdr>
          <w:bottom w:val="single" w:sz="6" w:space="1" w:color="1F3864"/>
        </w:pBdr>
      </w:pPr>
    </w:p>
    <w:p>
      <w:pPr>
        <w:pStyle w:val="Heading2"/>
        <w:jc w:val="left"/>
      </w:pPr>
      <w:r>
        <w:rPr>
          <w:color w:val="1F3864"/>
        </w:rPr>
        <w:t>2.1  Problem Statement / Objective</w:t>
      </w:r>
    </w:p>
    <w:p>
      <w:pPr>
        <w:spacing w:after="80" w:before="40"/>
      </w:pPr>
      <w:r>
        <w:rPr>
          <w:b w:val="0"/>
          <w:i w:val="0"/>
          <w:sz w:val="20"/>
        </w:rPr>
        <w:t>Aurora Finance's banking division handles two high-stakes decisions simultaneously: credit risk assessment for loan approvals and real-time fraud detection on transactions. A poor credit decision costs the bank in defaults; a missed fraud event costs customers and regulatory goodwill. The module integrates both into one unified lending decision framework.</w:t>
      </w:r>
    </w:p>
    <w:p>
      <w:pPr>
        <w:pStyle w:val="ListBullet"/>
        <w:spacing w:after="40"/>
        <w:ind w:left="432"/>
      </w:pPr>
      <w:r>
        <w:rPr>
          <w:sz w:val="20"/>
        </w:rPr>
        <w:t>Task 1 — Loan Risk Assessment: Predict each borrower's Probability of Default (PD) via regression, then classify into Low / Medium / High risk tiers.</w:t>
      </w:r>
    </w:p>
    <w:p>
      <w:pPr>
        <w:pStyle w:val="ListBullet"/>
        <w:spacing w:after="40"/>
        <w:ind w:left="432"/>
      </w:pPr>
      <w:r>
        <w:rPr>
          <w:sz w:val="20"/>
        </w:rPr>
        <w:t>Task 2 — Fraud Detection: Flag suspicious transactions using a supervised + unsupervised ensemble, producing a tiered RED / AMBER alert system.</w:t>
      </w:r>
    </w:p>
    <w:p>
      <w:pPr>
        <w:pStyle w:val="ListBullet"/>
        <w:spacing w:after="40"/>
        <w:ind w:left="432"/>
      </w:pPr>
      <w:r>
        <w:rPr>
          <w:sz w:val="20"/>
        </w:rPr>
        <w:t>Task 3 — Lending Decision Engine: Merge credit risk and fraud signals into a final per-loan decision: APPROVE, APPROVE with monitoring, or REJECT.</w:t>
      </w:r>
    </w:p>
    <w:p/>
    <w:p>
      <w:pPr>
        <w:pStyle w:val="Heading2"/>
        <w:jc w:val="left"/>
      </w:pPr>
      <w:r>
        <w:rPr>
          <w:color w:val="1F3864"/>
        </w:rPr>
        <w:t>2.2  Dataset Description</w:t>
      </w:r>
    </w:p>
    <w:p>
      <w:pPr>
        <w:spacing w:after="80" w:before="40"/>
      </w:pPr>
      <w:r>
        <w:rPr>
          <w:b w:val="0"/>
          <w:i w:val="0"/>
          <w:sz w:val="20"/>
        </w:rPr>
        <w:t>Two datasets are used — one for credit risk, one for fraud: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Columns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Loan Portfolio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sample_data/loan_portfolio.csv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100 loans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Loan_ID, Customer_Type, Annual_Income, Loan_Amount, Interest_Rate, Debt_to_Income, Credit_History_Length, Past_Default, PD</w:t>
            </w:r>
          </w:p>
        </w:tc>
      </w:tr>
      <w:tr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Transactions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sample_data/transactions.csv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200 transactions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Transaction_ID, Customer_ID, Amount, Transaction_Type, Timestamp, Fraud_Flag</w:t>
            </w:r>
          </w:p>
        </w:tc>
      </w:tr>
    </w:tbl>
    <w:p/>
    <w:p>
      <w:pPr>
        <w:spacing w:after="80" w:before="40"/>
      </w:pPr>
      <w:r>
        <w:rPr>
          <w:b w:val="0"/>
          <w:i w:val="0"/>
          <w:sz w:val="20"/>
        </w:rPr>
        <w:t>The transactions dataset has severe class imbalance: 191 legitimate (95.5%) vs only 9 fraud (4.5%). This requires oversampling (SMOTE) and a recall-prioritising evaluation metric (F2-score) rather than standard accuracy.</w:t>
      </w:r>
    </w:p>
    <w:p/>
    <w:p>
      <w:pPr>
        <w:pStyle w:val="Heading2"/>
        <w:jc w:val="left"/>
      </w:pPr>
      <w:r>
        <w:rPr>
          <w:color w:val="1F3864"/>
        </w:rPr>
        <w:t>2.3  Methodology / Approach</w:t>
      </w:r>
    </w:p>
    <w:p>
      <w:pPr>
        <w:spacing w:after="80" w:before="40"/>
      </w:pPr>
      <w:r>
        <w:rPr>
          <w:b/>
          <w:i w:val="0"/>
          <w:sz w:val="20"/>
        </w:rPr>
        <w:t>Task 1 — Three-Stage Pipeline:</w:t>
      </w:r>
    </w:p>
    <w:p>
      <w:pPr>
        <w:pStyle w:val="ListBullet"/>
        <w:spacing w:after="40"/>
        <w:ind w:left="432"/>
      </w:pPr>
      <w:r>
        <w:rPr>
          <w:sz w:val="20"/>
        </w:rPr>
        <w:t>Stage 1: Ridge vs Lasso regression (LOOCV on 100 loans) predicts each borrower's PD. The lower-RMSE model appends PD_predicted as a feature for Stage 2.</w:t>
      </w:r>
    </w:p>
    <w:p>
      <w:pPr>
        <w:pStyle w:val="ListBullet"/>
        <w:spacing w:after="40"/>
        <w:ind w:left="432"/>
      </w:pPr>
      <w:r>
        <w:rPr>
          <w:sz w:val="20"/>
        </w:rPr>
        <w:t>Stage 2: A weighted composite risk score (6 factors, each scored 1–3) classifies each loan into Low / Medium / High. Logistic Regression vs Decision Tree then validates this classification (5-fold stratified CV, F1-macro).</w:t>
      </w:r>
    </w:p>
    <w:p>
      <w:pPr>
        <w:pStyle w:val="ListBullet"/>
        <w:spacing w:after="40"/>
        <w:ind w:left="432"/>
      </w:pPr>
      <w:r>
        <w:rPr>
          <w:sz w:val="20"/>
        </w:rPr>
        <w:t>Stage 3: Risk classes map to lending decisions: Low → APPROVE, Medium → APPROVE with monitoring, High → REJECT.</w:t>
      </w:r>
    </w:p>
    <w:p>
      <w:pPr>
        <w:spacing w:after="80" w:before="40"/>
      </w:pPr>
      <w:r>
        <w:rPr>
          <w:b/>
          <w:i w:val="0"/>
          <w:sz w:val="20"/>
        </w:rPr>
        <w:t>Task 2 — Ensemble Fraud Detection:</w:t>
      </w:r>
    </w:p>
    <w:p>
      <w:pPr>
        <w:pStyle w:val="ListBullet"/>
        <w:spacing w:after="40"/>
        <w:ind w:left="432"/>
      </w:pPr>
      <w:r>
        <w:rPr>
          <w:sz w:val="20"/>
        </w:rPr>
        <w:t>Logistic Regression (Supervised): trained on SMOTE-oversampled data. Threshold selected by maximising F2-score (β=2) on the Precision-Recall curve — deliberately penalises missed fraud over false positives.</w:t>
      </w:r>
    </w:p>
    <w:p>
      <w:pPr>
        <w:pStyle w:val="ListBullet"/>
        <w:spacing w:after="40"/>
        <w:ind w:left="432"/>
      </w:pPr>
      <w:r>
        <w:rPr>
          <w:sz w:val="20"/>
        </w:rPr>
        <w:t>Isolation Forest (Unsupervised): trained without labels; anomaly scores converted to pseudo-probabilities. Captures novel fraud patterns not seen in training data.</w:t>
      </w:r>
    </w:p>
    <w:p>
      <w:pPr>
        <w:pStyle w:val="ListBullet"/>
        <w:spacing w:after="40"/>
        <w:ind w:left="432"/>
      </w:pPr>
      <w:r>
        <w:rPr>
          <w:sz w:val="20"/>
        </w:rPr>
        <w:t>Ensemble: RED alert = both models flag; AMBER = either model flags. Provides two tiers of escalation.</w:t>
      </w:r>
    </w:p>
    <w:p>
      <w:pPr>
        <w:spacing w:after="80" w:before="40"/>
      </w:pPr>
      <w:r>
        <w:rPr>
          <w:b/>
          <w:i w:val="0"/>
          <w:sz w:val="20"/>
        </w:rPr>
        <w:t>Task 3 — Decision Engine Logic: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Low Risk + No Fraud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APPROVE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Medium Risk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APPROVE — Standard Monitoring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High Risk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REJECT — High Risk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Any fraud signal from Task 2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REJECT — Fraud Alert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Past_Default = 1 (regardless of risk)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REJECT — Prior Default</w:t>
            </w:r>
          </w:p>
        </w:tc>
      </w:tr>
    </w:tbl>
    <w:p/>
    <w:p/>
    <w:p>
      <w:pPr>
        <w:pStyle w:val="Heading2"/>
        <w:jc w:val="left"/>
      </w:pPr>
      <w:r>
        <w:rPr>
          <w:color w:val="1F3864"/>
        </w:rPr>
        <w:t>2.4  Data Preprocessing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Loan_to_Income ratio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Loan_Amount / Annual_Income — captures leverage (key predictor of default)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Customer_Type encoding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Binary: Retail=1, Corporate=0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Feature scaling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StandardScaler before all linear models (Ridge, Lasso, Logistic Regression)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SMOTE oversampling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Minority class (9 fraud) oversampled to balance classes before LR training; k=3 neighbours + Gaussian noise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Cyclical time features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Hour_sin/cos, Minute_sin/cos — prevent treating hour 23 as far from hour 0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Amount Z-score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Per-customer normalisation: (Amount − Cust_Mean) / Cust_Std — detects unusually large transactions for that specific customer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Transaction velocity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Expanding cumulative count per customer — proxy for unusual burst activity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Log-Amount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log1p(Amount) — compresses right-skewed distribution</w:t>
            </w:r>
          </w:p>
        </w:tc>
      </w:tr>
    </w:tbl>
    <w:p/>
    <w:p/>
    <w:p>
      <w:pPr>
        <w:pStyle w:val="Heading2"/>
        <w:jc w:val="left"/>
      </w:pPr>
      <w:r>
        <w:rPr>
          <w:color w:val="1F3864"/>
        </w:rPr>
        <w:t>2.5  Model Implementation / Details</w:t>
      </w:r>
    </w:p>
    <w:p>
      <w:pPr>
        <w:spacing w:after="80" w:before="40"/>
      </w:pPr>
      <w:r>
        <w:rPr>
          <w:b/>
          <w:i w:val="0"/>
          <w:sz w:val="20"/>
        </w:rPr>
        <w:t>PD Regression (Stage 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Alpha Range</w:t>
            </w:r>
          </w:p>
        </w:tc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Validation</w:t>
            </w:r>
          </w:p>
        </w:tc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Winner criteria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Ridge Regression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[0.1, 1.0, 10.0, 100.0]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LOOCV (100 folds)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Lower LOOCV RMSE</w:t>
            </w:r>
          </w:p>
        </w:tc>
      </w:tr>
      <w:tr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Lasso Regression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[0.001, 0.01, 0.1]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LOOCV (100 folds)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Lower LOOCV RMSE</w:t>
            </w:r>
          </w:p>
        </w:tc>
      </w:tr>
    </w:tbl>
    <w:p/>
    <w:p>
      <w:pPr>
        <w:spacing w:after="80" w:before="40"/>
      </w:pPr>
      <w:r>
        <w:rPr>
          <w:b/>
          <w:i w:val="0"/>
          <w:sz w:val="20"/>
        </w:rPr>
        <w:t>Risk Scoring Weights (Stage 2):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 Factor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Scoring Logic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Debt-to-Income ratio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≤0.3 → 1 (Low), 0.3–0.6 → 2, &gt;0.6 → 3 (High)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Past Default history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No default → 1; Any default → 3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Interest Rate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≤7% → 1, 7–11% → 2, &gt;11% → 3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Credit History Length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≥15yr → 1, 7–15yr → 2, &lt;7yr → 3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Loan-to-Income ratio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≤0.15 → 1, 0.15–0.35 → 2, &gt;0.35 → 3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Predicted PD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≤8% → 1, 8–20% → 2, &gt;20% → 3</w:t>
            </w:r>
          </w:p>
        </w:tc>
      </w:tr>
    </w:tbl>
    <w:p/>
    <w:p/>
    <w:p>
      <w:pPr>
        <w:pStyle w:val="Heading2"/>
        <w:jc w:val="left"/>
      </w:pPr>
      <w:r>
        <w:rPr>
          <w:color w:val="1F3864"/>
        </w:rPr>
        <w:t>2.6  Results and Observations</w:t>
      </w:r>
    </w:p>
    <w:p>
      <w:pPr>
        <w:spacing w:after="80" w:before="40"/>
      </w:pPr>
      <w:r>
        <w:rPr>
          <w:b/>
          <w:i w:val="0"/>
          <w:sz w:val="20"/>
        </w:rPr>
        <w:t>Task 1 — PD Prediction &amp; Risk Distribution:</w:t>
      </w:r>
    </w:p>
    <w:p>
      <w:pPr>
        <w:spacing w:after="80" w:before="40"/>
      </w:pPr>
      <w:r>
        <w:rPr>
          <w:b w:val="0"/>
          <w:i w:val="0"/>
          <w:sz w:val="20"/>
        </w:rPr>
        <w:t>Ridge regression won the PD prediction competition with lower LOOCV RMSE across most alpha values. The resulting risk distribution across 100 loans: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 Category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Lending Direction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Low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APPROVE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APPROVE with monitoring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REJECT</w:t>
            </w:r>
          </w:p>
        </w:tc>
      </w:tr>
    </w:tbl>
    <w:p/>
    <w:p>
      <w:pPr>
        <w:spacing w:after="80" w:before="40"/>
      </w:pPr>
      <w:r>
        <w:rPr>
          <w:b/>
          <w:i w:val="0"/>
          <w:sz w:val="20"/>
        </w:rPr>
        <w:t>Task 2 — Fraud Detection Results:</w:t>
      </w:r>
    </w:p>
    <w:p>
      <w:pPr>
        <w:spacing w:after="80" w:before="40"/>
      </w:pPr>
      <w:r>
        <w:rPr>
          <w:b w:val="0"/>
          <w:i w:val="0"/>
          <w:sz w:val="20"/>
        </w:rPr>
        <w:t>The F2-score threshold optimisation successfully prioritised recall — catching fraud — over precision. The ensemble's tiered alerting provides an escalation path for the fraud operations team: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Alert Level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Transactions Flagged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Confidence Level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RED (both LR + IF flag)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Highest — both supervised and unsupervised models agree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AMBER (either model flags)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126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Medium — single-model signal; warrants review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Total Alerts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197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Out of 200 transactions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4178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rora_fraud_det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17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6464"/>
          <w:sz w:val="18"/>
        </w:rPr>
        <w:t>Figure 2.1 — Module 2 Task 2: Fraud Detection Dashboard — class distribution, fraud by type, PR curves, confusion matrices, ensemble comparison, and alert tiers</w:t>
      </w:r>
    </w:p>
    <w:p>
      <w:pPr>
        <w:spacing w:after="80" w:before="40"/>
      </w:pPr>
      <w:r>
        <w:rPr>
          <w:b/>
          <w:i w:val="0"/>
          <w:sz w:val="20"/>
        </w:rPr>
        <w:t>Task 3 — Final Lending Decisions (100 Loans):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APPROVE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Low risk, no fraud signals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APPROVE — Standard Monitoring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Medium risk; requires quarterly review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REJECT — Prior Default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Past_Default = 1; automatic hard block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REJECT — Fraud Alert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Fraud signal from Task 2 overrides credit class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REJECT — High Risk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High risk score from Stage 2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Total Approved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74% approval rate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Total Rejected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26% rejection rate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916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rora_task3_lending_strate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1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6464"/>
          <w:sz w:val="18"/>
        </w:rPr>
        <w:t>Figure 2.2 — Module 2 Task 3: Lending Decision Dashboard — decision distribution, PD by category, monitoring strategies, and rate adjustments</w:t>
      </w:r>
    </w:p>
    <w:p>
      <w:pPr>
        <w:pStyle w:val="Heading2"/>
        <w:jc w:val="left"/>
      </w:pPr>
      <w:r>
        <w:rPr>
          <w:color w:val="1F3864"/>
        </w:rPr>
        <w:t>2.7  Conclusion / Future Scope</w:t>
      </w:r>
    </w:p>
    <w:p>
      <w:pPr>
        <w:spacing w:after="80" w:before="40"/>
      </w:pPr>
      <w:r>
        <w:rPr>
          <w:b w:val="0"/>
          <w:i w:val="0"/>
          <w:sz w:val="20"/>
        </w:rPr>
        <w:t>The three-stage pipeline successfully integrates PD prediction, domain-driven risk scoring, and fraud signals into one coherent lending framework. LOOCV on n=100 avoids the high variance of k-fold on small samples. The F2-score threshold ensures the fraud model is aligned with business consequences (missing fraud is worse than a false alarm). The 9 fraud-flagged loans being automatically rejected demonstrates the value of the cross-task integration.</w:t>
      </w:r>
    </w:p>
    <w:p>
      <w:pPr>
        <w:pStyle w:val="ListBullet"/>
        <w:spacing w:after="40"/>
        <w:ind w:left="432"/>
      </w:pPr>
      <w:r>
        <w:rPr>
          <w:sz w:val="20"/>
        </w:rPr>
        <w:t>Future: Replace fixed scoring weights with SHAP-derived or logistic regression-derived data-driven weights.</w:t>
      </w:r>
    </w:p>
    <w:p>
      <w:pPr>
        <w:pStyle w:val="ListBullet"/>
        <w:spacing w:after="40"/>
        <w:ind w:left="432"/>
      </w:pPr>
      <w:r>
        <w:rPr>
          <w:sz w:val="20"/>
        </w:rPr>
        <w:t>Future: Implement rolling 24-hour velocity window instead of expanding count.</w:t>
      </w:r>
    </w:p>
    <w:p>
      <w:pPr>
        <w:pStyle w:val="ListBullet"/>
        <w:spacing w:after="40"/>
        <w:ind w:left="432"/>
      </w:pPr>
      <w:r>
        <w:rPr>
          <w:sz w:val="20"/>
        </w:rPr>
        <w:t>Future: Graph-based fraud features (customer-merchant networks) for detecting collusion patterns.</w:t>
      </w:r>
    </w:p>
    <w:p>
      <w:pPr>
        <w:pStyle w:val="ListBullet"/>
        <w:spacing w:after="40"/>
        <w:ind w:left="432"/>
      </w:pPr>
      <w:r>
        <w:rPr>
          <w:sz w:val="20"/>
        </w:rPr>
        <w:t>Future: Real-time scoring API at loan origination.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Module 3 — Financial Markets: Portfolio Strategy</w:t>
      </w:r>
    </w:p>
    <w:p>
      <w:pPr>
        <w:spacing w:before="80" w:after="80"/>
        <w:pBdr>
          <w:bottom w:val="single" w:sz="6" w:space="1" w:color="1F3864"/>
        </w:pBdr>
      </w:pPr>
    </w:p>
    <w:p>
      <w:pPr>
        <w:pStyle w:val="Heading2"/>
        <w:jc w:val="left"/>
      </w:pPr>
      <w:r>
        <w:rPr>
          <w:color w:val="1F3864"/>
        </w:rPr>
        <w:t>3.1  Problem Statement / Objective</w:t>
      </w:r>
    </w:p>
    <w:p>
      <w:pPr>
        <w:spacing w:after="80" w:before="40"/>
      </w:pPr>
      <w:r>
        <w:rPr>
          <w:b w:val="0"/>
          <w:i w:val="0"/>
          <w:sz w:val="20"/>
        </w:rPr>
        <w:t>Aurora Finance's asset management desk manages equity capital across Indian large-cap stocks. The challenge is to generate forward-looking return predictions that are free of data leakage, combine multiple model horizons into a coherent portfolio, and validate the strategy against a cash benchmark. Unlike Modules 1 and 2, this module operates on 21 years of daily market data where temporal ordering is critical.</w:t>
      </w:r>
    </w:p>
    <w:p>
      <w:pPr>
        <w:pStyle w:val="ListBullet"/>
        <w:spacing w:after="40"/>
        <w:ind w:left="432"/>
      </w:pPr>
      <w:r>
        <w:rPr>
          <w:sz w:val="20"/>
        </w:rPr>
        <w:t>Deliverable 1 — Return Ranking: Predict annualised 1-year and 3-year forward returns for 6 Indian stocks; generate BUY/SELL signals vs the 6.5% p.a. risk-free rate.</w:t>
      </w:r>
    </w:p>
    <w:p>
      <w:pPr>
        <w:pStyle w:val="ListBullet"/>
        <w:spacing w:after="40"/>
        <w:ind w:left="432"/>
      </w:pPr>
      <w:r>
        <w:rPr>
          <w:sz w:val="20"/>
        </w:rPr>
        <w:t>Deliverable 2 — Portfolio Optimisation: Build a Max-Sharpe portfolio from stocks with positive predicted excess return; fall back to 100% cash if none qualify.</w:t>
      </w:r>
    </w:p>
    <w:p>
      <w:pPr>
        <w:pStyle w:val="ListBullet"/>
        <w:spacing w:after="40"/>
        <w:ind w:left="432"/>
      </w:pPr>
      <w:r>
        <w:rPr>
          <w:sz w:val="20"/>
        </w:rPr>
        <w:t>Deliverable 3 — Backtest: Validate the strategy over the 2 most recent years (Feb 2024 — Feb 2026) against cash.</w:t>
      </w:r>
    </w:p>
    <w:p/>
    <w:p>
      <w:pPr>
        <w:pStyle w:val="Heading2"/>
        <w:jc w:val="left"/>
      </w:pPr>
      <w:r>
        <w:rPr>
          <w:color w:val="1F3864"/>
        </w:rPr>
        <w:t>3.2  Dataset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Source file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sample_data/Market_Data_Revised.xlsx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Stocks covered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Asian Paints, Cipla, HDFC Bank, ITC, TCS, UltraTech Cement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Date range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January 2005 — February 2026 (~21 years)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Rows per stock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~5,247 trading days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Stock columns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date, company_name, closing, high, low, trade Volume, Return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Macro — Quarterly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GDP growth %, Inflation % (2005–2025)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Macro — Annual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GDP growth %, Inflation % (2005–2025)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Risk-free rate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6.5% p.a. (Indian T-bill proxy, RF_RATE constant)</w:t>
            </w:r>
          </w:p>
        </w:tc>
      </w:tr>
    </w:tbl>
    <w:p/>
    <w:p/>
    <w:p>
      <w:pPr>
        <w:pStyle w:val="Heading2"/>
        <w:jc w:val="left"/>
      </w:pPr>
      <w:r>
        <w:rPr>
          <w:color w:val="1F3864"/>
        </w:rPr>
        <w:t>3.3  Methodology / Approach</w:t>
      </w:r>
    </w:p>
    <w:p>
      <w:pPr>
        <w:spacing w:after="80" w:before="40"/>
      </w:pPr>
      <w:r>
        <w:rPr>
          <w:b w:val="0"/>
          <w:i w:val="0"/>
          <w:sz w:val="20"/>
        </w:rPr>
        <w:t>The methodology is a dual-horizon ensemble with confidence-shrunk portfolio optimisation. The key design insight is that predicting the direction of long-horizon returns (BUY vs SELL) is more tractable and more useful for portfolio strategy than predicting the exact magnitude — hence hit rate (directional accuracy) is used as the primary signal quality metric rather than R².</w:t>
      </w:r>
    </w:p>
    <w:p>
      <w:pPr>
        <w:spacing w:after="80" w:before="40"/>
      </w:pPr>
      <w:r>
        <w:rPr>
          <w:b/>
          <w:i w:val="0"/>
          <w:sz w:val="20"/>
        </w:rPr>
        <w:t>Ensemble Framework:</w:t>
      </w:r>
    </w:p>
    <w:p>
      <w:pPr>
        <w:pStyle w:val="ListBullet"/>
        <w:spacing w:after="40"/>
        <w:ind w:left="432"/>
      </w:pPr>
      <w:r>
        <w:rPr>
          <w:sz w:val="20"/>
        </w:rPr>
        <w:t>Three models per stock per horizon: XGBoost, LightGBM, Random Forest.</w:t>
      </w:r>
    </w:p>
    <w:p>
      <w:pPr>
        <w:pStyle w:val="ListBullet"/>
        <w:spacing w:after="40"/>
        <w:ind w:left="432"/>
      </w:pPr>
      <w:r>
        <w:rPr>
          <w:sz w:val="20"/>
        </w:rPr>
        <w:t>Each model's blend weight is determined by its average CV hit rate, converted via softmax (temperature=0.1) — concentrating weight on the historically most accurate model per stock.</w:t>
      </w:r>
    </w:p>
    <w:p>
      <w:pPr>
        <w:pStyle w:val="ListBullet"/>
        <w:spacing w:after="40"/>
        <w:ind w:left="432"/>
      </w:pPr>
      <w:r>
        <w:rPr>
          <w:sz w:val="20"/>
        </w:rPr>
        <w:t>Live inference: the final model is retrained on recent data and predicts the annualised return for the most recent available data point.</w:t>
      </w:r>
    </w:p>
    <w:p>
      <w:pPr>
        <w:spacing w:after="80" w:before="40"/>
      </w:pPr>
      <w:r>
        <w:rPr>
          <w:b/>
          <w:i w:val="0"/>
          <w:sz w:val="20"/>
        </w:rPr>
        <w:t>Portfolio Optimisation:</w:t>
      </w:r>
    </w:p>
    <w:p>
      <w:pPr>
        <w:pStyle w:val="ListBullet"/>
        <w:spacing w:after="40"/>
        <w:ind w:left="432"/>
      </w:pPr>
      <w:r>
        <w:rPr>
          <w:sz w:val="20"/>
        </w:rPr>
        <w:t>Confidence shrinkage: predicted returns scaled by clip((hit_rate − 0.50) / 0.10, 0, 1) — a model at 50% (random) contributes nothing; at 60% it contributes fully.</w:t>
      </w:r>
    </w:p>
    <w:p>
      <w:pPr>
        <w:pStyle w:val="ListBullet"/>
        <w:spacing w:after="40"/>
        <w:ind w:left="432"/>
      </w:pPr>
      <w:r>
        <w:rPr>
          <w:sz w:val="20"/>
        </w:rPr>
        <w:t>Max-Sharpe (SLSQP): maximises (port_return − 6.5%) / port_volatility subject to weight bounds [5%, 40%] and sum-to-1.</w:t>
      </w:r>
    </w:p>
    <w:p>
      <w:pPr>
        <w:pStyle w:val="ListBullet"/>
        <w:spacing w:after="40"/>
        <w:ind w:left="432"/>
      </w:pPr>
      <w:r>
        <w:rPr>
          <w:sz w:val="20"/>
        </w:rPr>
        <w:t>Blending: 50% tactical (1Y-optimised weights) + 50% strategic (3Y-optimised weights).</w:t>
      </w:r>
    </w:p>
    <w:p>
      <w:pPr>
        <w:pStyle w:val="ListBullet"/>
        <w:spacing w:after="40"/>
        <w:ind w:left="432"/>
      </w:pPr>
      <w:r>
        <w:rPr>
          <w:sz w:val="20"/>
        </w:rPr>
        <w:t>Cash gate: if no stock has adjusted predicted return &gt; 0, portfolio holds 100% risk-free assets.</w:t>
      </w:r>
    </w:p>
    <w:p/>
    <w:p>
      <w:pPr>
        <w:pStyle w:val="Heading2"/>
        <w:jc w:val="left"/>
      </w:pPr>
      <w:r>
        <w:rPr>
          <w:color w:val="1F3864"/>
        </w:rPr>
        <w:t>3.4  Data Preprocessing &amp; Feature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1-day shift on all features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All features use .shift(1) — only yesterday's data informs today's prediction; prevents lookahead bias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Macro alignment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Quarterly and annual macro data forward-filled to daily frequency; joined on date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Infinity handling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replace([inf, -inf], NaN) — eliminates divide-by-zero from zero-volume days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Forward return targets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fwd_ret_1y = rolling 252-day product of (1+Return), shifted by -252; NaN for the live tail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Live tail preservation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Last 252 (1Y) / 756 (3Y) rows keep NaN targets — preserved for live inference, not dropped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Embargo gap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Gap between train end and test start = horizon length — prevents leakage of long-horizon targets</w:t>
            </w:r>
          </w:p>
        </w:tc>
      </w:tr>
    </w:tbl>
    <w:p/>
    <w:p>
      <w:pPr>
        <w:spacing w:after="80" w:before="40"/>
      </w:pPr>
      <w:r>
        <w:rPr>
          <w:b/>
          <w:i w:val="0"/>
          <w:sz w:val="20"/>
        </w:rPr>
        <w:t>20 Features in 3 Groups: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Features (count)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Short-horizon (9)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ret_1, ret_5, ret_20, vol_5, vol_20, mom_5, mom_20, vol_ratio, price_range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Recent price/volume momentum and volatility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Long-horizon (7)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mom_252, mom_756, price_vs_ma252, price_vs_ma756, vol_252, vol_ratio_sr_lr, vol_ratio_252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1-year and 3-year trend, mean-reversion, and volatility regime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Macroeconomic (4)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macro_gdp_qrt, macro_inflation_qrt, macro_gdp_ann, macro_inflation_ann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Business cycle context for equity returns</w:t>
            </w:r>
          </w:p>
        </w:tc>
      </w:tr>
    </w:tbl>
    <w:p/>
    <w:p/>
    <w:p>
      <w:pPr>
        <w:pStyle w:val="Heading2"/>
        <w:jc w:val="left"/>
      </w:pPr>
      <w:r>
        <w:rPr>
          <w:color w:val="1F3864"/>
        </w:rPr>
        <w:t>3.5  Model Implementation /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Parameters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XGBoost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200 trees, lr=0.05, max_depth=3, subsample=0.8, L1=0.1, L2=1.0, random_state=42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LightGBM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200 trees, lr=0.05, max_depth=4, num_leaves=31, subsample=0.8, colsample=0.8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Random Forest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200 trees, max_depth=5, max_features=sqrt, min_samples_leaf=5</w:t>
            </w:r>
          </w:p>
        </w:tc>
      </w:tr>
    </w:tbl>
    <w:p/>
    <w:p>
      <w:pPr>
        <w:spacing w:after="80" w:before="40"/>
      </w:pPr>
      <w:r>
        <w:rPr>
          <w:b/>
          <w:i w:val="0"/>
          <w:sz w:val="20"/>
        </w:rPr>
        <w:t>Rolling-Window CV Configuration: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1Y Horizon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3Y Horizon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Training window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1,260 days (~5 years)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1,260 days (~5 years)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Test window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252 days (~1 year)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252 days (~1 year)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Embargo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252 days (= 1Y horizon)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756 days (= 3Y horizon)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Number of folds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9 (fewer — embargo consumes more data)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Fold skip condition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Skip if targets are NaN (live tail)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Skip if targets are NaN (live tail)</w:t>
            </w:r>
          </w:p>
        </w:tc>
      </w:tr>
    </w:tbl>
    <w:p/>
    <w:p/>
    <w:p>
      <w:pPr>
        <w:pStyle w:val="Heading2"/>
        <w:jc w:val="left"/>
      </w:pPr>
      <w:r>
        <w:rPr>
          <w:color w:val="1F3864"/>
        </w:rPr>
        <w:t>3.6  Results and Observations</w:t>
      </w:r>
    </w:p>
    <w:p>
      <w:pPr>
        <w:spacing w:after="80" w:before="40"/>
      </w:pPr>
      <w:r>
        <w:rPr>
          <w:b/>
          <w:i w:val="0"/>
          <w:sz w:val="20"/>
        </w:rPr>
        <w:t>Live Return Signals (February 2026):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9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19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1Y Predicted</w:t>
            </w:r>
          </w:p>
        </w:tc>
        <w:tc>
          <w:tcPr>
            <w:tcW w:type="dxa" w:w="19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3Y Predicted</w:t>
            </w:r>
          </w:p>
        </w:tc>
        <w:tc>
          <w:tcPr>
            <w:tcW w:type="dxa" w:w="19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Consensus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HDFC Bank</w:t>
            </w:r>
          </w:p>
        </w:tc>
        <w:tc>
          <w:tcPr>
            <w:tcW w:type="dxa" w:w="19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−0.03%</w:t>
            </w:r>
          </w:p>
        </w:tc>
        <w:tc>
          <w:tcPr>
            <w:tcW w:type="dxa" w:w="19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−2.47%</w:t>
            </w:r>
          </w:p>
        </w:tc>
        <w:tc>
          <w:tcPr>
            <w:tcW w:type="dxa" w:w="19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STRONG SELL</w:t>
            </w:r>
          </w:p>
        </w:tc>
      </w:tr>
      <w:tr>
        <w:tc>
          <w:tcPr>
            <w:tcW w:type="dxa" w:w="19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9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Asian Paints</w:t>
            </w:r>
          </w:p>
        </w:tc>
        <w:tc>
          <w:tcPr>
            <w:tcW w:type="dxa" w:w="19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−6.85%</w:t>
            </w:r>
          </w:p>
        </w:tc>
        <w:tc>
          <w:tcPr>
            <w:tcW w:type="dxa" w:w="19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−13.74%</w:t>
            </w:r>
          </w:p>
        </w:tc>
        <w:tc>
          <w:tcPr>
            <w:tcW w:type="dxa" w:w="19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STRONG SELL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9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TCS</w:t>
            </w:r>
          </w:p>
        </w:tc>
        <w:tc>
          <w:tcPr>
            <w:tcW w:type="dxa" w:w="19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−15.61%</w:t>
            </w:r>
          </w:p>
        </w:tc>
        <w:tc>
          <w:tcPr>
            <w:tcW w:type="dxa" w:w="19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−8.14%</w:t>
            </w:r>
          </w:p>
        </w:tc>
        <w:tc>
          <w:tcPr>
            <w:tcW w:type="dxa" w:w="19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STRONG SELL</w:t>
            </w:r>
          </w:p>
        </w:tc>
      </w:tr>
      <w:tr>
        <w:tc>
          <w:tcPr>
            <w:tcW w:type="dxa" w:w="19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9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UltraTech Cement</w:t>
            </w:r>
          </w:p>
        </w:tc>
        <w:tc>
          <w:tcPr>
            <w:tcW w:type="dxa" w:w="19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−30.18%</w:t>
            </w:r>
          </w:p>
        </w:tc>
        <w:tc>
          <w:tcPr>
            <w:tcW w:type="dxa" w:w="19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−20.96%</w:t>
            </w:r>
          </w:p>
        </w:tc>
        <w:tc>
          <w:tcPr>
            <w:tcW w:type="dxa" w:w="19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STRONG SELL</w:t>
            </w:r>
          </w:p>
        </w:tc>
      </w:tr>
      <w:tr>
        <w:tc>
          <w:tcPr>
            <w:tcW w:type="dxa" w:w="19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9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Cipla</w:t>
            </w:r>
          </w:p>
        </w:tc>
        <w:tc>
          <w:tcPr>
            <w:tcW w:type="dxa" w:w="19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−34.05%</w:t>
            </w:r>
          </w:p>
        </w:tc>
        <w:tc>
          <w:tcPr>
            <w:tcW w:type="dxa" w:w="19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−31.92%</w:t>
            </w:r>
          </w:p>
        </w:tc>
        <w:tc>
          <w:tcPr>
            <w:tcW w:type="dxa" w:w="19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STRONG SELL</w:t>
            </w:r>
          </w:p>
        </w:tc>
      </w:tr>
      <w:tr>
        <w:tc>
          <w:tcPr>
            <w:tcW w:type="dxa" w:w="19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9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ITC</w:t>
            </w:r>
          </w:p>
        </w:tc>
        <w:tc>
          <w:tcPr>
            <w:tcW w:type="dxa" w:w="19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−34.91%</w:t>
            </w:r>
          </w:p>
        </w:tc>
        <w:tc>
          <w:tcPr>
            <w:tcW w:type="dxa" w:w="19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−25.43%</w:t>
            </w:r>
          </w:p>
        </w:tc>
        <w:tc>
          <w:tcPr>
            <w:tcW w:type="dxa" w:w="19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STRONG SELL</w:t>
            </w:r>
          </w:p>
        </w:tc>
      </w:tr>
    </w:tbl>
    <w:p/>
    <w:p>
      <w:pPr>
        <w:spacing w:after="80" w:before="40"/>
      </w:pPr>
      <w:r>
        <w:rPr>
          <w:b w:val="0"/>
          <w:i w:val="0"/>
          <w:sz w:val="20"/>
        </w:rPr>
        <w:t>All six stocks received STRONG SELL signals — none were predicted to beat the 6.5% risk-free threshold. The portfolio entered Cash Mode: 100% risk-free allocation recommended.</w:t>
      </w:r>
    </w:p>
    <w:p>
      <w:pPr>
        <w:spacing w:after="80" w:before="40"/>
      </w:pPr>
      <w:r>
        <w:rPr>
          <w:b/>
          <w:i w:val="0"/>
          <w:sz w:val="20"/>
        </w:rPr>
        <w:t>CV Diagnostics — Hit Rate vs R²: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1Y CV Hit Rate</w:t>
            </w:r>
          </w:p>
        </w:tc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3Y CV Hit Rate</w:t>
            </w:r>
          </w:p>
        </w:tc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Stability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Asian Paints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74.6%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81.5%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Cipla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98.4%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Medium / High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HDFC Bank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48.4%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67.9%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ITC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55.2%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88.4%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TCS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46.2%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68.6%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UltraTech Cement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62.3%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52.7%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Low</w:t>
            </w:r>
          </w:p>
        </w:tc>
      </w:tr>
    </w:tbl>
    <w:p/>
    <w:p>
      <w:pPr>
        <w:spacing w:after="80" w:before="40"/>
      </w:pPr>
      <w:r>
        <w:rPr>
          <w:b w:val="0"/>
          <w:i w:val="0"/>
          <w:sz w:val="20"/>
        </w:rPr>
        <w:t>R² is consistently negative across all stocks and horizons — the models cannot predict the magnitude of future returns (as expected; even hedge funds cannot). However, high hit rates (especially Cipla at 98–100%) show the models can reliably predict the direction. For a BUY/SELL trading strategy, direction is all that matters.</w:t>
      </w:r>
    </w:p>
    <w:p>
      <w:pPr>
        <w:spacing w:after="80" w:before="40"/>
      </w:pPr>
      <w:r>
        <w:rPr>
          <w:b/>
          <w:i w:val="0"/>
          <w:sz w:val="20"/>
        </w:rPr>
        <w:t>Feature Importance — What Drives 1Y and 3Y Predictions: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 Group</w:t>
            </w:r>
          </w:p>
        </w:tc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1Y Contribution</w:t>
            </w:r>
          </w:p>
        </w:tc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3Y Contribution</w:t>
            </w:r>
          </w:p>
        </w:tc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Long-horizon Trend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47.6%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54.5%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Where the stock has been over 1–3 years matters most</w:t>
            </w:r>
          </w:p>
        </w:tc>
      </w:tr>
      <w:tr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Short-horizon Price/Volume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35.5%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30.4%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Recent momentum provides complementary signal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Macroeconomic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16.9%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15.1%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GDP and inflation provide business cycle context</w:t>
            </w:r>
          </w:p>
        </w:tc>
      </w:tr>
    </w:tbl>
    <w:p/>
    <w:p>
      <w:pPr>
        <w:spacing w:after="80" w:before="40"/>
      </w:pPr>
      <w:r>
        <w:rPr>
          <w:b/>
          <w:i w:val="0"/>
          <w:sz w:val="20"/>
        </w:rPr>
        <w:t>2-Year Backtest Validation (Feb 2024 — Feb 2026):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Equal-weight market portfolio (hypothetical)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−21.4% cumulative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Cash (risk-free @ 6.5% p.a.)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+14.5% cumulative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Cash Alpha over market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+35.9%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Conclusion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The SELL signal was correct — Indian large-caps badly underperformed cash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3.7  Conclusion / Future Scope</w:t>
      </w:r>
    </w:p>
    <w:p>
      <w:pPr>
        <w:spacing w:after="80" w:before="40"/>
      </w:pPr>
      <w:r>
        <w:rPr>
          <w:b w:val="0"/>
          <w:i w:val="0"/>
          <w:sz w:val="20"/>
        </w:rPr>
        <w:t>The ensemble demonstrates strong directional accuracy (48–100% hit rate) despite negative R², confirming that direction is the tractable signal in long-horizon equity prediction. The unanimous SELL call in February 2026 was strikingly validated by the 2-year backtest showing a 35.9% advantage for cash over the equal-weight market portfolio. The dual-horizon framework and embargo-based CV design are methodologically sound for financial ML — without the embargo, the 3Y folds would have leaked future data and produced falsely optimistic CV scores.</w:t>
      </w:r>
    </w:p>
    <w:p>
      <w:pPr>
        <w:pStyle w:val="ListBullet"/>
        <w:spacing w:after="40"/>
        <w:ind w:left="432"/>
      </w:pPr>
      <w:r>
        <w:rPr>
          <w:sz w:val="20"/>
        </w:rPr>
        <w:t>Future: Add more stocks (Nifty 50 constituents) for sector rotation strategies.</w:t>
      </w:r>
    </w:p>
    <w:p>
      <w:pPr>
        <w:pStyle w:val="ListBullet"/>
        <w:spacing w:after="40"/>
        <w:ind w:left="432"/>
      </w:pPr>
      <w:r>
        <w:rPr>
          <w:sz w:val="20"/>
        </w:rPr>
        <w:t>Future: Add FII/DII flows, credit spreads, and options-implied volatility as macro features.</w:t>
      </w:r>
    </w:p>
    <w:p>
      <w:pPr>
        <w:pStyle w:val="ListBullet"/>
        <w:spacing w:after="40"/>
        <w:ind w:left="432"/>
      </w:pPr>
      <w:r>
        <w:rPr>
          <w:sz w:val="20"/>
        </w:rPr>
        <w:t>Future: Implement Combinatorial Purged CV (CPCV) for more statistically robust fold estimates.</w:t>
      </w:r>
    </w:p>
    <w:p>
      <w:pPr>
        <w:pStyle w:val="ListBullet"/>
        <w:spacing w:after="40"/>
        <w:ind w:left="432"/>
      </w:pPr>
      <w:r>
        <w:rPr>
          <w:sz w:val="20"/>
        </w:rPr>
        <w:t>Future: Replace equal-weighted Cash Mode fallback with a dynamic bond ladder.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Module 4 — Derivatives: NIFTY Options Pricing</w:t>
      </w:r>
    </w:p>
    <w:p>
      <w:pPr>
        <w:spacing w:before="80" w:after="80"/>
        <w:pBdr>
          <w:bottom w:val="single" w:sz="6" w:space="1" w:color="1F3864"/>
        </w:pBdr>
      </w:pPr>
    </w:p>
    <w:p>
      <w:pPr>
        <w:pStyle w:val="Heading2"/>
        <w:jc w:val="left"/>
      </w:pPr>
      <w:r>
        <w:rPr>
          <w:color w:val="1F3864"/>
        </w:rPr>
        <w:t>4.1  Problem Statement / Objective</w:t>
      </w:r>
    </w:p>
    <w:p>
      <w:pPr>
        <w:spacing w:after="80" w:before="40"/>
      </w:pPr>
      <w:r>
        <w:rPr>
          <w:b w:val="0"/>
          <w:i w:val="0"/>
          <w:sz w:val="20"/>
        </w:rPr>
        <w:t>Aurora Finance's derivatives desk needs to price NIFTY 50 options in real time for hedging and market-making. The Black-Scholes (BS) model is the industry standard and provides a theoretically grounded baseline, but its assumptions — constant volatility, lognormal returns, and a single risk-free rate — cause systematic mispricing:</w:t>
      </w:r>
    </w:p>
    <w:p>
      <w:pPr>
        <w:pStyle w:val="ListBullet"/>
        <w:spacing w:after="40"/>
        <w:ind w:left="432"/>
      </w:pPr>
      <w:r>
        <w:rPr>
          <w:sz w:val="20"/>
        </w:rPr>
        <w:t>Constant volatility assumption ignores the volatility smile/skew — IV differs by strike and expiry.</w:t>
      </w:r>
    </w:p>
    <w:p>
      <w:pPr>
        <w:pStyle w:val="ListBullet"/>
        <w:spacing w:after="40"/>
        <w:ind w:left="432"/>
      </w:pPr>
      <w:r>
        <w:rPr>
          <w:sz w:val="20"/>
        </w:rPr>
        <w:t>A flat 7% T-bill rate produces ₹15–40 mispricing on near-expiry weekly contracts where the implied cost of carry (r_eff) is close to 14.4%.</w:t>
      </w:r>
    </w:p>
    <w:p>
      <w:pPr>
        <w:pStyle w:val="ListBullet"/>
        <w:spacing w:after="40"/>
        <w:ind w:left="432"/>
      </w:pPr>
      <w:r>
        <w:rPr>
          <w:sz w:val="20"/>
        </w:rPr>
        <w:t>Non-lognormal tails (fat tails, jump risk) are not priced into BS.</w:t>
      </w:r>
    </w:p>
    <w:p>
      <w:pPr>
        <w:spacing w:after="80" w:before="40"/>
      </w:pPr>
      <w:r>
        <w:rPr>
          <w:b w:val="0"/>
          <w:i w:val="0"/>
          <w:sz w:val="20"/>
        </w:rPr>
        <w:t>The objective is a Hybrid Model: use Black-Scholes as a financially grounded base and train XGBoost to predict and correct the residual (Market Price − BS Price), capturing what BS cannot.</w:t>
      </w:r>
    </w:p>
    <w:p/>
    <w:p>
      <w:pPr>
        <w:pStyle w:val="Heading2"/>
        <w:jc w:val="left"/>
      </w:pPr>
      <w:r>
        <w:rPr>
          <w:color w:val="1F3864"/>
        </w:rPr>
        <w:t>4.2  Dataset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Source file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sample_data/Option_Chain_NSE_intraday_NIFTY_2Feb24.xlsx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Date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 February 2024 (intraday, NSE)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Index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NIFTY 50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Rows (post-filtering)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6,408 option records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Expiries covered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 expiries: 8-Feb, 15-Feb, 22-Feb, 29-Feb, 7-Mar, 28-Mar 2024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Key columns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Time, Expiry, Spot, Strike, Call/Put IV, Call/Put LTP, Call/Put Bid/Ask, Call/Put_Traded_Qty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ATM filter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Moneyness (Spot/Strike) kept in [0.90, 1.10] — removes deep OTM/ITM illiquid contracts</w:t>
            </w:r>
          </w:p>
        </w:tc>
      </w:tr>
    </w:tbl>
    <w:p/>
    <w:p/>
    <w:p>
      <w:pPr>
        <w:pStyle w:val="Heading2"/>
        <w:jc w:val="left"/>
      </w:pPr>
      <w:r>
        <w:rPr>
          <w:color w:val="1F3864"/>
        </w:rPr>
        <w:t>4.3  Methodology / Approach</w:t>
      </w:r>
    </w:p>
    <w:p>
      <w:pPr>
        <w:spacing w:after="80" w:before="40"/>
      </w:pPr>
      <w:r>
        <w:rPr>
          <w:b/>
          <w:i w:val="0"/>
          <w:sz w:val="20"/>
        </w:rPr>
        <w:t>Hybrid Architecture: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 BS Base Price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Vectorised Black-Scholes with per-expiry r_eff; produces theoretically grounded base price for each option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2. Compute Residual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BS Residual = Market LTP − BS Base Price; this is what XGBoost learns to predict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3. Train XGBoost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Predicts the residual (not the full price) using market microstructure features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4. Final Prediction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Hybrid Price = BS Base + XGB Residual Prediction</w:t>
            </w:r>
          </w:p>
        </w:tc>
      </w:tr>
    </w:tbl>
    <w:p/>
    <w:p>
      <w:pPr>
        <w:spacing w:after="80" w:before="40"/>
      </w:pPr>
      <w:r>
        <w:rPr>
          <w:b/>
          <w:i w:val="0"/>
          <w:sz w:val="20"/>
        </w:rPr>
        <w:t>Walk-Forward Validation:</w:t>
      </w:r>
    </w:p>
    <w:p>
      <w:pPr>
        <w:spacing w:after="80" w:before="40"/>
      </w:pPr>
      <w:r>
        <w:rPr>
          <w:b w:val="0"/>
          <w:i w:val="0"/>
          <w:sz w:val="20"/>
        </w:rPr>
        <w:t>The intraday dataset is strictly ordered by timestamp. Training starts on the first 50% of timestamps; test windows of 10% are rolled forward. A critical assertion is enforced at each fold: test_times[0] &gt; train_times[-1] — any leakage triggers an immediate error. No shuffling. No data from the future is used in any fold.</w:t>
      </w:r>
    </w:p>
    <w:p>
      <w:pPr>
        <w:spacing w:after="80" w:before="40"/>
      </w:pPr>
      <w:r>
        <w:rPr>
          <w:b/>
          <w:i w:val="0"/>
          <w:sz w:val="20"/>
        </w:rPr>
        <w:t>Per-Expiry Risk-Free Rate — Critical Design Decision:</w:t>
      </w:r>
    </w:p>
    <w:p>
      <w:pPr>
        <w:spacing w:after="80" w:before="40"/>
      </w:pPr>
      <w:r>
        <w:rPr>
          <w:b w:val="0"/>
          <w:i w:val="0"/>
          <w:sz w:val="20"/>
        </w:rPr>
        <w:t>The standard 7% T-bill rate is incorrect for NIFTY option pricing because NSE's BS formula prices against the spot price (not futures) and uses the implied cost of carry r_eff = r − q, where q is the dividend yield absorbed into the futures premium. For near-expiry weekly contracts (8-Feb), this pushes r_eff to ~14.4%. Using 7% flat systematically underprices calls and overprices puts by ₹15–40 on those contracts. The per-expiry r_eff values were backed out from put-call parity on the 2-Feb-2024 chain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Expiry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r_eff Used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8-Feb 2024 (weekly)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14.4%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Very high carry — short-dated futures premium dominates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15-Feb 2024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9.3%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Moderate carry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22-Feb 2024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7.2%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Near T-bill rate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29-Feb 2024 (monthly)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6.8%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Close to T-bill rate for monthly contract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7-Mar 2024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7.4%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Slight premium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28-Mar 2024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7.3%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Essentially T-bill rate for longer-dated contract</w:t>
            </w:r>
          </w:p>
        </w:tc>
      </w:tr>
    </w:tbl>
    <w:p/>
    <w:p/>
    <w:p>
      <w:pPr>
        <w:pStyle w:val="Heading2"/>
        <w:jc w:val="left"/>
      </w:pPr>
      <w:r>
        <w:rPr>
          <w:color w:val="1F3864"/>
        </w:rPr>
        <w:t>4.4  Data Preprocessing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Timestamp parsing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pd.to_datetime; data sorted chronologically for temporal integrity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Null/zero removal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Drop rows with zero Spot, Strike, IV, or LTP — these are data quality issues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ATM filtering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Moneyness = Spot/Strike in [0.90, 1.10]; removes illiquid deep OTM/ITM contracts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TimeToExpiry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(Expiry − Time).total_seconds() / (365.25 × 24 × 3600); includes intraday hours for precision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Bid-Ask Spread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Call Ask − Call Bid; Put Ask − Put Bid; proxy for option liquidity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IV conversion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Call IV / 100 and Put IV / 100 → decimal form for BS formula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Cyclical time encoding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Hour_sin/cos = sin/cos(2π × Hour / 24); Minute_sin/cos similarly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Per-expiry r_eff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Expiry key mapped to r_eff_by_expiry dict; fallback to 7% for unknown expiries</w:t>
            </w:r>
          </w:p>
        </w:tc>
      </w:tr>
    </w:tbl>
    <w:p/>
    <w:p/>
    <w:p>
      <w:pPr>
        <w:pStyle w:val="Heading2"/>
        <w:jc w:val="left"/>
      </w:pPr>
      <w:r>
        <w:rPr>
          <w:color w:val="1F3864"/>
        </w:rPr>
        <w:t>4.5  Model Implementation / Details</w:t>
      </w:r>
    </w:p>
    <w:p>
      <w:pPr>
        <w:spacing w:after="80" w:before="40"/>
      </w:pPr>
      <w:r>
        <w:rPr>
          <w:b/>
          <w:i w:val="0"/>
          <w:sz w:val="20"/>
        </w:rPr>
        <w:t>XGBoost Residual Model (Separate for Calls and Puts):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n_estimators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400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More trees for residual learning; early stopping prevents overfit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learning_rate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0.03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Slow learning rate with many trees → better generalisation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max_depth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Allows complex interactions (IV × time × moneyness)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subsample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0.8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Row subsampling; reduces variance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colsample_bytree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0.8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Feature subsampling per tree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early_stopping_rounds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Stops training if test loss doesn't improve for 20 rounds</w:t>
            </w:r>
          </w:p>
        </w:tc>
      </w:tr>
    </w:tbl>
    <w:p/>
    <w:p>
      <w:pPr>
        <w:spacing w:after="80" w:before="40"/>
      </w:pPr>
      <w:r>
        <w:rPr>
          <w:b/>
          <w:i w:val="0"/>
          <w:sz w:val="20"/>
        </w:rPr>
        <w:t>Features (12 per model — calls and puts trained separately):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Intuition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Call/Put_IV_Decimal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Option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Dominant pricing signal — IV encodes market's volatility expectation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TimeToExpiry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Time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Theta decay — options lose value as expiry approaches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Moneyness (S/K)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Structural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Distance from the money — core BS input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LogMoneyness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Structural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Log-scale moneyness; better for symmetric modelling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Spread_Call/Put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Liquidity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Wider spread = less liquid = more pricing noise for BS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Call/Put_Traded_Qty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Demand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High volume at a strike → tighter pricing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Hour_sin/cos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Intraday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Time-of-day effects (open/close volatility clusters)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Minute_sin/cos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Intraday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Finer intraday microstructure</w:t>
            </w:r>
          </w:p>
        </w:tc>
      </w:tr>
    </w:tbl>
    <w:p/>
    <w:p/>
    <w:p>
      <w:pPr>
        <w:pStyle w:val="Heading2"/>
        <w:jc w:val="left"/>
      </w:pPr>
      <w:r>
        <w:rPr>
          <w:color w:val="1F3864"/>
        </w:rPr>
        <w:t>4.6  Results and Observations</w:t>
      </w:r>
    </w:p>
    <w:p>
      <w:pPr>
        <w:spacing w:after="80" w:before="40"/>
      </w:pPr>
      <w:r>
        <w:rPr>
          <w:b/>
          <w:i w:val="0"/>
          <w:sz w:val="20"/>
        </w:rPr>
        <w:t>Hybrid Model Performance (Walk-Forward, Out-of-Sample):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Call Options</w:t>
            </w:r>
          </w:p>
        </w:tc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Put Options</w:t>
            </w:r>
          </w:p>
        </w:tc>
        <w:tc>
          <w:tcPr>
            <w:tcW w:type="dxa" w:w="24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RMSE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₹18.59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₹13.46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Average absolute pricing error; puts are priced more precisely</w:t>
            </w:r>
          </w:p>
        </w:tc>
      </w:tr>
      <w:tr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MAE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₹10.35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₹8.06</w:t>
            </w:r>
          </w:p>
        </w:tc>
        <w:tc>
          <w:tcPr>
            <w:tcW w:type="dxa" w:w="2436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Median-like error; very low relative to NIFTY option prices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R²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0.9984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0.9989</w:t>
            </w:r>
          </w:p>
        </w:tc>
        <w:tc>
          <w:tcPr>
            <w:tcW w:type="dxa" w:w="24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Model explains &gt;99.8% of price variation — excellent fit</w:t>
            </w:r>
          </w:p>
        </w:tc>
      </w:tr>
    </w:tbl>
    <w:p/>
    <w:p>
      <w:pPr>
        <w:spacing w:after="80" w:before="40"/>
      </w:pPr>
      <w:r>
        <w:rPr>
          <w:b w:val="0"/>
          <w:i w:val="0"/>
          <w:sz w:val="20"/>
        </w:rPr>
        <w:t>The hybrid model achieves R² &gt; 0.998 for both calls and puts — an excellent result for option pricing where even small absolute errors can matter for delta hedging and P&amp;L attribution. By comparison, standalone Black-Scholes (before r_eff correction) had mean errors of ₹15–40 on near-expiry contracts.</w:t>
      </w:r>
    </w:p>
    <w:p>
      <w:pPr>
        <w:spacing w:after="80" w:before="40"/>
      </w:pPr>
      <w:r>
        <w:rPr>
          <w:b/>
          <w:i w:val="0"/>
          <w:sz w:val="20"/>
        </w:rPr>
        <w:t>Implied Volatility Skew:</w:t>
      </w:r>
    </w:p>
    <w:p>
      <w:pPr>
        <w:spacing w:after="80" w:before="40"/>
      </w:pPr>
      <w:r>
        <w:rPr>
          <w:b w:val="0"/>
          <w:i w:val="0"/>
          <w:sz w:val="20"/>
        </w:rPr>
        <w:t>Put IV &gt; Call IV across most strike levels — the classic "volatility smirk" observed in equity indices. This reflects the left-tail risk premium: investors pay more to hedge downside (puts) than upside (calls). IV is highest for near-expiry strikes close to ATM and declines for longer-dated contracts (lower uncertainty per unit time as theta slows). XGBoost's moneyness and IV features together capture this skew pattern that Black-Scholes ignores.</w:t>
      </w:r>
    </w:p>
    <w:p>
      <w:pPr>
        <w:spacing w:after="80" w:before="40"/>
      </w:pPr>
      <w:r>
        <w:rPr>
          <w:b/>
          <w:i w:val="0"/>
          <w:sz w:val="20"/>
        </w:rPr>
        <w:t>Feature Importance (top 5, both models):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24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Importance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Call/Put_IV_Decimal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Dominant — IV encodes the market's full pricing expectation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TimeToExpiry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Theta decay — critical for near-expiry contracts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Moneyness (S/K)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Core BS structural input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Spread_Call/Put</w:t>
            </w:r>
          </w:p>
        </w:tc>
        <w:tc>
          <w:tcPr>
            <w:tcW w:type="dxa" w:w="3249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Liquidity proxy; wide spread = BS mispricing more likely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Call/Put_Traded_Qty</w:t>
            </w:r>
          </w:p>
        </w:tc>
        <w:tc>
          <w:tcPr>
            <w:tcW w:type="dxa" w:w="324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Demand-side signal; correlated with fair pricing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4.7  Conclusion / Future Scope</w:t>
      </w:r>
    </w:p>
    <w:p>
      <w:pPr>
        <w:spacing w:after="80" w:before="40"/>
      </w:pPr>
      <w:r>
        <w:rPr>
          <w:b w:val="0"/>
          <w:i w:val="0"/>
          <w:sz w:val="20"/>
        </w:rPr>
        <w:t>The hybrid XGBoost + Black-Scholes approach significantly outperforms standalone BS. The key insight is that BS provides a financially structured base price that is mostly correct, and XGBoost learns to correct the systematic residuals that arise from BS's simplifying assumptions. The per-expiry risk-free rate calibration eliminates a structural bias that standalone 7% T-bill pricing introduces for near-expiry weekly contracts. Walk-forward validation ensures these results hold out-of-sample.</w:t>
      </w:r>
    </w:p>
    <w:p>
      <w:pPr>
        <w:pStyle w:val="ListBullet"/>
        <w:spacing w:after="40"/>
        <w:ind w:left="432"/>
      </w:pPr>
      <w:r>
        <w:rPr>
          <w:sz w:val="20"/>
        </w:rPr>
        <w:t>Future: Live pricing engine that recalibrates r_eff from put-call parity at the start of each session.</w:t>
      </w:r>
    </w:p>
    <w:p>
      <w:pPr>
        <w:pStyle w:val="ListBullet"/>
        <w:spacing w:after="40"/>
        <w:ind w:left="432"/>
      </w:pPr>
      <w:r>
        <w:rPr>
          <w:sz w:val="20"/>
        </w:rPr>
        <w:t>Future: Add Greeks (Delta, Gamma, Vega, Theta) as features for non-linear BS corrections.</w:t>
      </w:r>
    </w:p>
    <w:p>
      <w:pPr>
        <w:pStyle w:val="ListBullet"/>
        <w:spacing w:after="40"/>
        <w:ind w:left="432"/>
      </w:pPr>
      <w:r>
        <w:rPr>
          <w:sz w:val="20"/>
        </w:rPr>
        <w:t>Future: Model the full volatility surface with a term-structure IV model (SVI or SSVI).</w:t>
      </w:r>
    </w:p>
    <w:p>
      <w:pPr>
        <w:pStyle w:val="ListBullet"/>
        <w:spacing w:after="40"/>
        <w:ind w:left="432"/>
      </w:pPr>
      <w:r>
        <w:rPr>
          <w:sz w:val="20"/>
        </w:rPr>
        <w:t>Future: Extend to Bank Nifty and individual stock options.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Overall Conclusion &amp; Future Scope</w:t>
      </w:r>
    </w:p>
    <w:p>
      <w:pPr>
        <w:spacing w:before="80" w:after="80"/>
        <w:pBdr>
          <w:bottom w:val="single" w:sz="6" w:space="1" w:color="1F3864"/>
        </w:pBdr>
      </w:pPr>
    </w:p>
    <w:p>
      <w:pPr>
        <w:spacing w:after="80" w:before="40"/>
      </w:pPr>
      <w:r>
        <w:rPr>
          <w:b w:val="0"/>
          <w:i w:val="0"/>
          <w:sz w:val="20"/>
        </w:rPr>
        <w:t>This capstone project demonstrates end-to-end ML pipeline design across four distinct financial domains. Each module is production-grade in its design philosophy — leakage-free validation, domain-aligned feature engineering, and evaluation metrics calibrated to business consequences.</w:t>
      </w:r>
    </w:p>
    <w:p>
      <w:pPr>
        <w:spacing w:after="80" w:before="40"/>
      </w:pPr>
      <w:r>
        <w:rPr>
          <w:b/>
          <w:i w:val="0"/>
          <w:sz w:val="20"/>
        </w:rPr>
        <w:t>Cross-Module Design Insights: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87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Core ML Insight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Corporate Finance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Small datasets (n&lt;100) demand LOOCV and strict feature caps (≤1:10 ratio). Ridge regression is safer than complex models when signal is weak.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Banking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F2-score threshold optimisation aligns the fraud model with business consequences (missing fraud &gt; false alarm). Combining supervised + unsupervised models provides defence in depth.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Financial Markets</w:t>
            </w:r>
          </w:p>
        </w:tc>
        <w:tc>
          <w:tcPr>
            <w:tcW w:type="dxa" w:w="487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Hit rate (directional accuracy) matters more than R² for trading signals. Embargo-based CV is non-negotiable for long-horizon targets.</w:t>
            </w:r>
          </w:p>
        </w:tc>
      </w:tr>
      <w:tr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Derivatives</w:t>
            </w:r>
          </w:p>
        </w:tc>
        <w:tc>
          <w:tcPr>
            <w:tcW w:type="dxa" w:w="4873"/>
            <w:shd w:val="clear" w:color="auto" w:fill="EBF3FB"/>
          </w:tcPr>
          <w:p>
            <w:pPr>
              <w:jc w:val="center"/>
            </w:pPr>
            <w:r>
              <w:rPr>
                <w:sz w:val="18"/>
              </w:rPr>
              <w:t>Hybrid models (theory + ML residual) outperform either alone. Per-expiry carry rate calibration eliminates structural BS bias before any ML is applied.</w:t>
            </w:r>
          </w:p>
        </w:tc>
      </w:tr>
    </w:tbl>
    <w:p/>
    <w:p/>
    <w:p>
      <w:pPr>
        <w:spacing w:after="80" w:before="40"/>
      </w:pPr>
      <w:r>
        <w:rPr>
          <w:b/>
          <w:i w:val="0"/>
          <w:sz w:val="20"/>
        </w:rPr>
        <w:t>Four Themes That Run Through All Modules:</w:t>
      </w:r>
    </w:p>
    <w:p>
      <w:pPr>
        <w:pStyle w:val="ListBullet"/>
        <w:spacing w:after="40"/>
        <w:ind w:left="432"/>
      </w:pPr>
      <w:r>
        <w:rPr>
          <w:sz w:val="20"/>
        </w:rPr>
        <w:t>Leakage prevention is paramount — LOOCV (Modules 1 &amp; 2), embargo gaps (Module 3), walk-forward with temporal assertions (Module 4).</w:t>
      </w:r>
    </w:p>
    <w:p>
      <w:pPr>
        <w:pStyle w:val="ListBullet"/>
        <w:spacing w:after="40"/>
        <w:ind w:left="432"/>
      </w:pPr>
      <w:r>
        <w:rPr>
          <w:sz w:val="20"/>
        </w:rPr>
        <w:t>Domain knowledge before data — NPV/IRR features (Module 1), PD-based scoring (Module 2), carry rate calibration (Module 4), embargo length = horizon (Module 3).</w:t>
      </w:r>
    </w:p>
    <w:p>
      <w:pPr>
        <w:pStyle w:val="ListBullet"/>
        <w:spacing w:after="40"/>
        <w:ind w:left="432"/>
      </w:pPr>
      <w:r>
        <w:rPr>
          <w:sz w:val="20"/>
        </w:rPr>
        <w:t>Evaluation metrics match business goals — MAE for cashflow, F2 for fraud, hit rate for trading, RMSE + R² for option pricing.</w:t>
      </w:r>
    </w:p>
    <w:p>
      <w:pPr>
        <w:pStyle w:val="ListBullet"/>
        <w:spacing w:after="40"/>
        <w:ind w:left="432"/>
      </w:pPr>
      <w:r>
        <w:rPr>
          <w:sz w:val="20"/>
        </w:rPr>
        <w:t>Interpretability alongside accuracy — SHAP (Module 1), weighted risk scores (Module 2), per-model CV hit rates (Module 3), feature importance by fold (Module 4).</w:t>
      </w:r>
    </w:p>
    <w:p/>
    <w:p>
      <w:pPr>
        <w:spacing w:after="80" w:before="40"/>
      </w:pPr>
      <w:r>
        <w:rPr>
          <w:b/>
          <w:i w:val="0"/>
          <w:sz w:val="20"/>
        </w:rPr>
        <w:t>Cross-Module Future Scope:</w:t>
      </w:r>
    </w:p>
    <w:p>
      <w:pPr>
        <w:pStyle w:val="ListBullet"/>
        <w:spacing w:after="40"/>
        <w:ind w:left="432"/>
      </w:pPr>
      <w:r>
        <w:rPr>
          <w:sz w:val="20"/>
        </w:rPr>
        <w:t>Unified Aurora Finance risk dashboard: project cashflow risk, loan book health, equity signals, and options hedging cost in one integrated view.</w:t>
      </w:r>
    </w:p>
    <w:p>
      <w:pPr>
        <w:pStyle w:val="ListBullet"/>
        <w:spacing w:after="40"/>
        <w:ind w:left="432"/>
      </w:pPr>
      <w:r>
        <w:rPr>
          <w:sz w:val="20"/>
        </w:rPr>
        <w:t>Real-time pipeline: Apache Kafka streaming inference for loan scoring and transaction fraud detection at point-of-transaction.</w:t>
      </w:r>
    </w:p>
    <w:p>
      <w:pPr>
        <w:pStyle w:val="ListBullet"/>
        <w:spacing w:after="40"/>
        <w:ind w:left="432"/>
      </w:pPr>
      <w:r>
        <w:rPr>
          <w:sz w:val="20"/>
        </w:rPr>
        <w:t>Larger datasets: all modules are constrained by sample size (50 projects, 100 loans, 6 stocks, 1 day of options). Production-scale data would unlock deeper models.</w:t>
      </w:r>
    </w:p>
    <w:p>
      <w:pPr>
        <w:pStyle w:val="ListBullet"/>
        <w:spacing w:after="40"/>
        <w:ind w:left="432"/>
      </w:pPr>
      <w:r>
        <w:rPr>
          <w:sz w:val="20"/>
        </w:rPr>
        <w:t>Regulatory compliance: model cards and SHAP-based explainability reports for RBI/SEBI regulatory submissions.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