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00" w:before="0"/>
      </w:pPr>
      <w:r>
        <w:rPr>
          <w:rFonts w:ascii="Arial" w:cs="Arial" w:eastAsia="Arial" w:hAnsi="Arial"/>
          <w:b/>
          <w:bCs/>
          <w:i w:val="false"/>
          <w:iCs w:val="false"/>
          <w:sz w:val="19"/>
          <w:szCs w:val="19"/>
        </w:rPr>
        <w:t xml:space="preserve">Table 1. </w:t>
      </w:r>
      <w:r>
        <w:rPr>
          <w:rFonts w:ascii="Arial" w:cs="Arial" w:eastAsia="Arial" w:hAnsi="Arial"/>
          <w:b w:val="false"/>
          <w:bCs w:val="false"/>
          <w:i w:val="false"/>
          <w:iCs w:val="false"/>
          <w:sz w:val="19"/>
          <w:szCs w:val="19"/>
        </w:rPr>
        <w:t xml:space="preserve">Test performance of the baselines and the six tuned neural models under the default and strict protocols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632"/>
        <w:gridCol w:w="1318"/>
        <w:gridCol w:w="1884"/>
        <w:gridCol w:w="1789"/>
        <w:gridCol w:w="1789"/>
        <w:gridCol w:w="1789"/>
        <w:gridCol w:w="2637"/>
      </w:tblGrid>
      <w:tr>
        <w:trPr>
          <w:tblHeader/>
        </w:trPr>
        <w:tc>
          <w:tcPr>
            <w:tcW w:type="dxa" w:w="3632"/>
            <w:vMerge w:val="restart"/>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Model</w:t>
            </w:r>
          </w:p>
        </w:tc>
        <w:tc>
          <w:tcPr>
            <w:tcW w:type="dxa" w:w="1318"/>
            <w:vMerge w:val="restart"/>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Parameters</w:t>
            </w:r>
          </w:p>
        </w:tc>
        <w:tc>
          <w:tcPr>
            <w:tcW w:type="dxa" w:w="3673"/>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 protocol</w:t>
            </w:r>
          </w:p>
        </w:tc>
        <w:tc>
          <w:tcPr>
            <w:tcW w:type="dxa" w:w="3578"/>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protocol</w:t>
            </w:r>
          </w:p>
        </w:tc>
        <w:tc>
          <w:tcPr>
            <w:tcW w:type="dxa" w:w="2637"/>
            <w:tcBorders>
              <w:top w:val="single" w:color="000000" w:sz="1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non-cohort users</w:t>
            </w:r>
          </w:p>
        </w:tc>
      </w:tr>
      <w:tr>
        <w:trPr>
          <w:tblHeader/>
        </w:trPr>
        <w:tc>
          <w:tcPr>
            <w:vMerge w:val="continue"/>
            <w:tcBorders>
              <w:top w:val="single" w:color="000000" w:sz="10"/>
              <w:left w:val="none" w:color="FFFFFF" w:sz="0"/>
              <w:bottom w:val="single" w:color="000000" w:sz="4"/>
              <w:right w:val="none" w:color="FFFFFF" w:sz="0"/>
            </w:tcBorders>
          </w:tcPr>
          <w:p/>
        </w:tc>
        <w:tc>
          <w:tcPr>
            <w:vMerge w:val="continue"/>
            <w:tcBorders>
              <w:top w:val="single" w:color="000000" w:sz="10"/>
              <w:left w:val="none" w:color="FFFFFF" w:sz="0"/>
              <w:bottom w:val="single" w:color="000000" w:sz="4"/>
              <w:right w:val="none" w:color="FFFFFF" w:sz="0"/>
            </w:tcBorders>
          </w:tcPr>
          <w:p/>
        </w:tc>
        <w:tc>
          <w:tcPr>
            <w:tcW w:type="dxa" w:w="188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w:t>
            </w:r>
          </w:p>
        </w:tc>
        <w:tc>
          <w:tcPr>
            <w:tcW w:type="dxa" w:w="1789"/>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MRR@10</w:t>
            </w:r>
          </w:p>
        </w:tc>
        <w:tc>
          <w:tcPr>
            <w:tcW w:type="dxa" w:w="1789"/>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w:t>
            </w:r>
          </w:p>
        </w:tc>
        <w:tc>
          <w:tcPr>
            <w:tcW w:type="dxa" w:w="1789"/>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MRR@10</w:t>
            </w:r>
          </w:p>
        </w:tc>
        <w:tc>
          <w:tcPr>
            <w:tcW w:type="dxa" w:w="2637"/>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w:t>
            </w:r>
          </w:p>
        </w:tc>
      </w:tr>
      <w:tr>
        <w:tc>
          <w:tcPr>
            <w:tcW w:type="dxa" w:w="363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Popularity †</w:t>
            </w:r>
          </w:p>
        </w:tc>
        <w:tc>
          <w:tcPr>
            <w:tcW w:type="dxa" w:w="131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w:t>
            </w:r>
          </w:p>
        </w:tc>
        <w:tc>
          <w:tcPr>
            <w:tcW w:type="dxa" w:w="188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0.4072</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0.1243</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0.3962</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0.1138</w:t>
            </w:r>
          </w:p>
        </w:tc>
        <w:tc>
          <w:tcPr>
            <w:tcW w:type="dxa" w:w="263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0.5443</w:t>
            </w:r>
          </w:p>
        </w:tc>
      </w:tr>
      <w:tr>
        <w:tc>
          <w:tcPr>
            <w:tcW w:type="dxa" w:w="363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Markov (1st order) †</w:t>
            </w:r>
          </w:p>
        </w:tc>
        <w:tc>
          <w:tcPr>
            <w:tcW w:type="dxa" w:w="131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w:t>
            </w:r>
          </w:p>
        </w:tc>
        <w:tc>
          <w:tcPr>
            <w:tcW w:type="dxa" w:w="188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0.8669</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0.6613</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0.5511</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0.2525</w:t>
            </w:r>
          </w:p>
        </w:tc>
        <w:tc>
          <w:tcPr>
            <w:tcW w:type="dxa" w:w="263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0.7573</w:t>
            </w:r>
          </w:p>
        </w:tc>
      </w:tr>
      <w:tr>
        <w:tc>
          <w:tcPr>
            <w:tcW w:type="dxa" w:w="363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Markov + context (2nd order) †</w:t>
            </w:r>
          </w:p>
        </w:tc>
        <w:tc>
          <w:tcPr>
            <w:tcW w:type="dxa" w:w="131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w:t>
            </w:r>
          </w:p>
        </w:tc>
        <w:tc>
          <w:tcPr>
            <w:tcW w:type="dxa" w:w="188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0.8715</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0.6666</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0.5561</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0.2571</w:t>
            </w:r>
          </w:p>
        </w:tc>
        <w:tc>
          <w:tcPr>
            <w:tcW w:type="dxa" w:w="263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0.7643</w:t>
            </w:r>
          </w:p>
        </w:tc>
      </w:tr>
      <w:tr>
        <w:tc>
          <w:tcPr>
            <w:tcW w:type="dxa" w:w="363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no attention</w:t>
            </w:r>
          </w:p>
        </w:tc>
        <w:tc>
          <w:tcPr>
            <w:tcW w:type="dxa" w:w="131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299,469</w:t>
            </w:r>
          </w:p>
        </w:tc>
        <w:tc>
          <w:tcPr>
            <w:tcW w:type="dxa" w:w="188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0.9283 ± 0.0014</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0.7065 ± 0.0026</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0.8824 ± 0.0024</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0.4215 ± 0.0023</w:t>
            </w:r>
          </w:p>
        </w:tc>
        <w:tc>
          <w:tcPr>
            <w:tcW w:type="dxa" w:w="263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0.8388 ± 0.0033</w:t>
            </w:r>
          </w:p>
        </w:tc>
      </w:tr>
      <w:tr>
        <w:tc>
          <w:tcPr>
            <w:tcW w:type="dxa" w:w="363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(paper)</w:t>
            </w:r>
          </w:p>
        </w:tc>
        <w:tc>
          <w:tcPr>
            <w:tcW w:type="dxa" w:w="131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1,101,742</w:t>
            </w:r>
          </w:p>
        </w:tc>
        <w:tc>
          <w:tcPr>
            <w:tcW w:type="dxa" w:w="188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0.9270 ± 0.0011</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0.7030 ± 0.0021</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0.8852 ± 0.0020</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0.4208 ± 0.0017</w:t>
            </w:r>
          </w:p>
        </w:tc>
        <w:tc>
          <w:tcPr>
            <w:tcW w:type="dxa" w:w="263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0.8426 ± 0.0028</w:t>
            </w:r>
          </w:p>
        </w:tc>
      </w:tr>
      <w:tr>
        <w:tc>
          <w:tcPr>
            <w:tcW w:type="dxa" w:w="363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w:t>
            </w:r>
          </w:p>
        </w:tc>
        <w:tc>
          <w:tcPr>
            <w:tcW w:type="dxa" w:w="131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184,669</w:t>
            </w:r>
          </w:p>
        </w:tc>
        <w:tc>
          <w:tcPr>
            <w:tcW w:type="dxa" w:w="188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0.9258 ± 0.0015</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0.7042 ± 0.0020</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0.8811 ± 0.0044</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0.4116 ± 0.0152</w:t>
            </w:r>
          </w:p>
        </w:tc>
        <w:tc>
          <w:tcPr>
            <w:tcW w:type="dxa" w:w="263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0.8369 ± 0.0061</w:t>
            </w:r>
          </w:p>
        </w:tc>
      </w:tr>
      <w:tr>
        <w:tc>
          <w:tcPr>
            <w:tcW w:type="dxa" w:w="363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TA</w:t>
            </w:r>
          </w:p>
        </w:tc>
        <w:tc>
          <w:tcPr>
            <w:tcW w:type="dxa" w:w="131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279,166</w:t>
            </w:r>
          </w:p>
        </w:tc>
        <w:tc>
          <w:tcPr>
            <w:tcW w:type="dxa" w:w="188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0.9276 ± 0.0025</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0.7043 ± 0.0017</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0.8795 ± 0.0021</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0.3866 ± 0.0345</w:t>
            </w:r>
          </w:p>
        </w:tc>
        <w:tc>
          <w:tcPr>
            <w:tcW w:type="dxa" w:w="263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0.8349 ± 0.0030</w:t>
            </w:r>
          </w:p>
        </w:tc>
      </w:tr>
      <w:tr>
        <w:tc>
          <w:tcPr>
            <w:tcW w:type="dxa" w:w="363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w:t>
            </w:r>
          </w:p>
        </w:tc>
        <w:tc>
          <w:tcPr>
            <w:tcW w:type="dxa" w:w="131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216,381</w:t>
            </w:r>
          </w:p>
        </w:tc>
        <w:tc>
          <w:tcPr>
            <w:tcW w:type="dxa" w:w="188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0.9277 ± 0.0018</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0.7120 ± 0.0019</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0.8900 ± 0.0027</w:t>
            </w:r>
          </w:p>
        </w:tc>
        <w:tc>
          <w:tcPr>
            <w:tcW w:type="dxa" w:w="178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0.4088 ± 0.0207</w:t>
            </w:r>
          </w:p>
        </w:tc>
        <w:tc>
          <w:tcPr>
            <w:tcW w:type="dxa" w:w="263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0.8490 ± 0.0035</w:t>
            </w:r>
          </w:p>
        </w:tc>
      </w:tr>
      <w:tr>
        <w:tc>
          <w:tcPr>
            <w:tcW w:type="dxa" w:w="3632"/>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w:t>
            </w:r>
          </w:p>
        </w:tc>
        <w:tc>
          <w:tcPr>
            <w:tcW w:type="dxa" w:w="1318"/>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200,318</w:t>
            </w:r>
          </w:p>
        </w:tc>
        <w:tc>
          <w:tcPr>
            <w:tcW w:type="dxa" w:w="188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0.9269 ± 0.0014</w:t>
            </w:r>
          </w:p>
        </w:tc>
        <w:tc>
          <w:tcPr>
            <w:tcW w:type="dxa" w:w="1789"/>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0.7126 ± 0.0017</w:t>
            </w:r>
          </w:p>
        </w:tc>
        <w:tc>
          <w:tcPr>
            <w:tcW w:type="dxa" w:w="1789"/>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0.8872 ± 0.0041</w:t>
            </w:r>
          </w:p>
        </w:tc>
        <w:tc>
          <w:tcPr>
            <w:tcW w:type="dxa" w:w="1789"/>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0.4214 ± 0.0026</w:t>
            </w:r>
          </w:p>
        </w:tc>
        <w:tc>
          <w:tcPr>
            <w:tcW w:type="dxa" w:w="2637"/>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0.8451 ± 0.0057</w:t>
            </w:r>
          </w:p>
        </w:tc>
      </w:tr>
    </w:tbl>
    <w:p>
      <w:pPr>
        <w:spacing w:after="0" w:before="90"/>
      </w:pPr>
      <w:r>
        <w:rPr>
          <w:rFonts w:ascii="Arial" w:cs="Arial" w:eastAsia="Arial" w:hAnsi="Arial"/>
          <w:b w:val="false"/>
          <w:bCs w:val="false"/>
          <w:i w:val="false"/>
          <w:iCs w:val="false"/>
          <w:sz w:val="15"/>
          <w:szCs w:val="15"/>
        </w:rPr>
        <w:t xml:space="preserve">Mean ± standard deviation over ten training seeds (42, 101, 202, 7, 13, 21, 34, 55, 89, 144); test users n = 4,553 (default) and 4,551 (strict); non-cohort users n = 3,309. Best value per column in bold. † Deterministic: no seed variation. Every neural model received the same hyperparameter search (30 Optuna trials, objective = mean of default and strict validation Hit@10, selection on validation users only; Table S6) and was then trained once per seed and evaluated once on the test set. Data, split, 60-course vocabulary and full-history masking are shared by all models. TA, the paper's temporal-attention pooling. Results for the earlier small-grid models and for a search selected on default-protocol validation only are in Tables S2 and S3.</w:t>
      </w:r>
    </w:p>
    <w:p>
      <w:pPr>
        <w:pageBreakBefore/>
      </w:pPr>
    </w:p>
    <w:p>
      <w:pPr>
        <w:keepNext/>
        <w:spacing w:after="100" w:before="0"/>
      </w:pPr>
      <w:r>
        <w:rPr>
          <w:rFonts w:ascii="Arial" w:cs="Arial" w:eastAsia="Arial" w:hAnsi="Arial"/>
          <w:b/>
          <w:bCs/>
          <w:i w:val="false"/>
          <w:iCs w:val="false"/>
          <w:sz w:val="19"/>
          <w:szCs w:val="19"/>
        </w:rPr>
        <w:t xml:space="preserve">Table 2. </w:t>
      </w:r>
      <w:r>
        <w:rPr>
          <w:rFonts w:ascii="Arial" w:cs="Arial" w:eastAsia="Arial" w:hAnsi="Arial"/>
          <w:b w:val="false"/>
          <w:bCs w:val="false"/>
          <w:i w:val="false"/>
          <w:iCs w:val="false"/>
          <w:sz w:val="19"/>
          <w:szCs w:val="19"/>
        </w:rPr>
        <w:t xml:space="preserve">Paired differences in Hit@10 between the tuned models, with 95% bootstrap intervals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2434"/>
        <w:gridCol w:w="1082"/>
        <w:gridCol w:w="2434"/>
        <w:gridCol w:w="1082"/>
        <w:gridCol w:w="2524"/>
        <w:gridCol w:w="1082"/>
      </w:tblGrid>
      <w:tr>
        <w:trPr>
          <w:tblHeader/>
        </w:trPr>
        <w:tc>
          <w:tcPr>
            <w:tcW w:type="dxa" w:w="4200"/>
            <w:vMerge w:val="restart"/>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Comparison (first minus second)</w:t>
            </w:r>
          </w:p>
        </w:tc>
        <w:tc>
          <w:tcPr>
            <w:tcW w:type="dxa" w:w="3516"/>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 all users</w:t>
            </w:r>
          </w:p>
        </w:tc>
        <w:tc>
          <w:tcPr>
            <w:tcW w:type="dxa" w:w="3516"/>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all users</w:t>
            </w:r>
          </w:p>
        </w:tc>
        <w:tc>
          <w:tcPr>
            <w:tcW w:type="dxa" w:w="3606"/>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non-cohort users</w:t>
            </w:r>
          </w:p>
        </w:tc>
      </w:tr>
      <w:tr>
        <w:trPr>
          <w:tblHeader/>
        </w:trPr>
        <w:tc>
          <w:tcPr>
            <w:vMerge w:val="continue"/>
            <w:tcBorders>
              <w:top w:val="single" w:color="000000" w:sz="10"/>
              <w:left w:val="none" w:color="FFFFFF" w:sz="0"/>
              <w:bottom w:val="single" w:color="000000" w:sz="4"/>
              <w:right w:val="none" w:color="FFFFFF" w:sz="0"/>
            </w:tcBorders>
          </w:tcPr>
          <w:p/>
        </w:tc>
        <w:tc>
          <w:tcPr>
            <w:tcW w:type="dxa" w:w="243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Δ [95% CI]</w:t>
            </w:r>
          </w:p>
        </w:tc>
        <w:tc>
          <w:tcPr>
            <w:tcW w:type="dxa" w:w="1082"/>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p (Holm)</w:t>
            </w:r>
          </w:p>
        </w:tc>
        <w:tc>
          <w:tcPr>
            <w:tcW w:type="dxa" w:w="243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Δ [95% CI]</w:t>
            </w:r>
          </w:p>
        </w:tc>
        <w:tc>
          <w:tcPr>
            <w:tcW w:type="dxa" w:w="1082"/>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p (Holm)</w:t>
            </w:r>
          </w:p>
        </w:tc>
        <w:tc>
          <w:tcPr>
            <w:tcW w:type="dxa" w:w="252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Δ [95% CI]</w:t>
            </w:r>
          </w:p>
        </w:tc>
        <w:tc>
          <w:tcPr>
            <w:tcW w:type="dxa" w:w="1082"/>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p (Holm)</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Backbone, without TA</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LSTM</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−0.06 [−0.37, +0.25]</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+0.75 [+0.35, +1.16]</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0.004</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+1.02 [+0.47, +1.57]</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0.003</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LSTM</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−0.24 [−0.52, +0.03]</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[−0.44, +0.19]</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−0.19 [−0.63, +0.23]</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GRU4Rec</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+0.18 [−0.16, +0.51]</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+0.89 [+0.49, +1.29]</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+1.21 [+0.67, +1.76]</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Backbone, with TA</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 − LSTM + attention</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−0.01 [−0.30, +0.27]</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+0.20 [−0.14, +0.55]</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+0.25 [−0.22, +0.72]</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TA − LSTM + attention</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 [−0.23, +0.34]</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−0.57 [−0.89, −0.24]</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0.016</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−0.77 [−1.22, −0.32]</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0.019</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 − GRU4Rec + TA</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 [−0.36, +0.22]</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+0.76 [+0.41, +1.11]</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+1.02 [+0.55, +1.50]</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Temporal attention (with − without)</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[−0.34, +0.08]</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 [+0.02, +0.54]</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0.419</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+0.38 [+0.02, +0.73]</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0.434</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 [−0.07, +0.42]</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−0.15 [−0.43, +0.12]</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−0.19 [−0.57, +0.19]</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 [−0.30, +0.14]</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 [−0.55, −0.01]</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0.506</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−0.38 [−0.74, −0.02]</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0.516</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Selection objective (E7b − E7)</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no attention</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−0.16 [−0.37, +0.04]</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−0.34 [−0.59, −0.09]</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0.105</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−0.44 [−0.78, −0.10]</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0.153</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−0.22 [−0.40, −0.05]</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0.221</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[−0.34, +0.07]</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−0.18 [−0.46, +0.09]</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 [+0.14, +0.67]</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0.072</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 [−0.01, +0.58]</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0.625</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+0.39 [−0.02, +0.81]</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0.689</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TA</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+0.16 [−0.02, +0.35]</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+0.03 [−0.19, +0.25]</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 [−0.25, +0.35]</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 [−0.19, +0.20]</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+0.56 [+0.33, +0.79]</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+0.77 [+0.46, +1.08]</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+0.01 [−0.15, +0.16]</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[−0.34, +0.08]</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−0.18 [−0.47, +0.11]</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Reference baselines</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 Markov (1st order)</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+6.01 [+5.20, +6.82]</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+33.41 [+31.93, +34.92]</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+8.53 [+7.23, +9.83]</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r>
      <w:tr>
        <w:tc>
          <w:tcPr>
            <w:tcW w:type="dxa" w:w="420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Markov (1st order)</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+6.08 [+5.26, +6.89]</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c>
          <w:tcPr>
            <w:tcW w:type="dxa" w:w="24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+33.89 [+32.42, +35.38]</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c>
          <w:tcPr>
            <w:tcW w:type="dxa" w:w="25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+9.16 [+7.91, +10.43]</w:t>
            </w:r>
          </w:p>
        </w:tc>
        <w:tc>
          <w:tcPr>
            <w:tcW w:type="dxa" w:w="10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r>
      <w:tr>
        <w:tc>
          <w:tcPr>
            <w:tcW w:type="dxa" w:w="4200"/>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 Popularity</w:t>
            </w:r>
          </w:p>
        </w:tc>
        <w:tc>
          <w:tcPr>
            <w:tcW w:type="dxa" w:w="243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+51.98 [+50.37, +53.56]</w:t>
            </w:r>
          </w:p>
        </w:tc>
        <w:tc>
          <w:tcPr>
            <w:tcW w:type="dxa" w:w="1082"/>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c>
          <w:tcPr>
            <w:tcW w:type="dxa" w:w="243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+48.90 [+47.26, +50.55]</w:t>
            </w:r>
          </w:p>
        </w:tc>
        <w:tc>
          <w:tcPr>
            <w:tcW w:type="dxa" w:w="1082"/>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c>
          <w:tcPr>
            <w:tcW w:type="dxa" w:w="252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+29.83 [+27.93, +31.69]</w:t>
            </w:r>
          </w:p>
        </w:tc>
        <w:tc>
          <w:tcPr>
            <w:tcW w:type="dxa" w:w="1082"/>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w:t>
            </w:r>
          </w:p>
        </w:tc>
      </w:tr>
    </w:tbl>
    <w:p>
      <w:pPr>
        <w:spacing w:after="0" w:before="90"/>
      </w:pPr>
      <w:r>
        <w:rPr>
          <w:rFonts w:ascii="Arial" w:cs="Arial" w:eastAsia="Arial" w:hAnsi="Arial"/>
          <w:b w:val="false"/>
          <w:bCs w:val="false"/>
          <w:i w:val="false"/>
          <w:iCs w:val="false"/>
          <w:sz w:val="15"/>
          <w:szCs w:val="15"/>
        </w:rPr>
        <w:t xml:space="preserve">Δ in percentage points of Hit@10; positive favours the first-named model. Per-user outcomes were averaged over the ten seeds, then 10,000 bootstrap resamples of test users gave percentile intervals; p values are two-sided bootstrap p values adjusted by the Holm method within each protocol and user subset (24 comparisons; 0.002 is the resolution limit of 10,000 resamples after adjustment). Bold: Holm-adjusted p &lt; 0.05. Non-cohort users exclude the 1,242 users whose history is the fixed curriculum 46→47→21. The E7 models were selected on default-protocol validation Hit@10 only. Other metrics: Table S4.</w:t>
      </w:r>
    </w:p>
    <w:p>
      <w:pPr>
        <w:pageBreakBefore/>
      </w:pPr>
    </w:p>
    <w:p>
      <w:pPr>
        <w:keepNext/>
        <w:spacing w:after="100" w:before="0"/>
      </w:pPr>
      <w:r>
        <w:rPr>
          <w:rFonts w:ascii="Arial" w:cs="Arial" w:eastAsia="Arial" w:hAnsi="Arial"/>
          <w:b/>
          <w:bCs/>
          <w:i w:val="false"/>
          <w:iCs w:val="false"/>
          <w:sz w:val="19"/>
          <w:szCs w:val="19"/>
        </w:rPr>
        <w:t xml:space="preserve">Table 3. </w:t>
      </w:r>
      <w:r>
        <w:rPr>
          <w:rFonts w:ascii="Arial" w:cs="Arial" w:eastAsia="Arial" w:hAnsi="Arial"/>
          <w:b w:val="false"/>
          <w:bCs w:val="false"/>
          <w:i w:val="false"/>
          <w:iCs w:val="false"/>
          <w:sz w:val="19"/>
          <w:szCs w:val="19"/>
        </w:rPr>
        <w:t xml:space="preserve">Hit@10 for cohort and non-cohort users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160"/>
        <w:gridCol w:w="1917"/>
        <w:gridCol w:w="2266"/>
        <w:gridCol w:w="1656"/>
        <w:gridCol w:w="1917"/>
        <w:gridCol w:w="2266"/>
        <w:gridCol w:w="1656"/>
      </w:tblGrid>
      <w:tr>
        <w:trPr>
          <w:tblHeader/>
        </w:trPr>
        <w:tc>
          <w:tcPr>
            <w:tcW w:type="dxa" w:w="3160"/>
            <w:vMerge w:val="restart"/>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Model</w:t>
            </w:r>
          </w:p>
        </w:tc>
        <w:tc>
          <w:tcPr>
            <w:tcW w:type="dxa" w:w="5839"/>
            <w:gridSpan w:val="3"/>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 protocol</w:t>
            </w:r>
          </w:p>
        </w:tc>
        <w:tc>
          <w:tcPr>
            <w:tcW w:type="dxa" w:w="5839"/>
            <w:gridSpan w:val="3"/>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protocol</w:t>
            </w:r>
          </w:p>
        </w:tc>
      </w:tr>
      <w:tr>
        <w:trPr>
          <w:tblHeader/>
        </w:trPr>
        <w:tc>
          <w:tcPr>
            <w:vMerge w:val="continue"/>
            <w:tcBorders>
              <w:top w:val="single" w:color="000000" w:sz="10"/>
              <w:left w:val="none" w:color="FFFFFF" w:sz="0"/>
              <w:bottom w:val="single" w:color="000000" w:sz="4"/>
              <w:right w:val="none" w:color="FFFFFF" w:sz="0"/>
            </w:tcBorders>
          </w:tcPr>
          <w:p/>
        </w:tc>
        <w:tc>
          <w:tcPr>
            <w:tcW w:type="dxa" w:w="1917"/>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Cohort (n = 1,242)</w:t>
            </w:r>
          </w:p>
        </w:tc>
        <w:tc>
          <w:tcPr>
            <w:tcW w:type="dxa" w:w="2266"/>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Non-cohort (n = 3,311)</w:t>
            </w:r>
          </w:p>
        </w:tc>
        <w:tc>
          <w:tcPr>
            <w:tcW w:type="dxa" w:w="1656"/>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All (n = 4,553)</w:t>
            </w:r>
          </w:p>
        </w:tc>
        <w:tc>
          <w:tcPr>
            <w:tcW w:type="dxa" w:w="1917"/>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Cohort (n = 1,242)</w:t>
            </w:r>
          </w:p>
        </w:tc>
        <w:tc>
          <w:tcPr>
            <w:tcW w:type="dxa" w:w="2266"/>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Non-cohort (n = 3,309)</w:t>
            </w:r>
          </w:p>
        </w:tc>
        <w:tc>
          <w:tcPr>
            <w:tcW w:type="dxa" w:w="1656"/>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All (n = 4,551)</w:t>
            </w:r>
          </w:p>
        </w:tc>
      </w:tr>
      <w:tr>
        <w:tc>
          <w:tcPr>
            <w:tcW w:type="dxa" w:w="316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Popularity</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0.0016</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0.5593</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0.4072</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0.0016</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0.5443</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0.3962</w:t>
            </w:r>
          </w:p>
        </w:tc>
      </w:tr>
      <w:tr>
        <w:tc>
          <w:tcPr>
            <w:tcW w:type="dxa" w:w="316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Markov (1st order)</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0.8170</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0.8669</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0.0016</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0.7573</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0.5511</w:t>
            </w:r>
          </w:p>
        </w:tc>
      </w:tr>
      <w:tr>
        <w:tc>
          <w:tcPr>
            <w:tcW w:type="dxa" w:w="316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Markov + context (2nd order)</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0.8233</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0.8715</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0.0016</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0.7643</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0.5561</w:t>
            </w:r>
          </w:p>
        </w:tc>
      </w:tr>
      <w:tr>
        <w:tc>
          <w:tcPr>
            <w:tcW w:type="dxa" w:w="316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no attention</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0.9994</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0.9016</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0.9283</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0.9986</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0.8388</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0.8824</w:t>
            </w:r>
          </w:p>
        </w:tc>
      </w:tr>
      <w:tr>
        <w:tc>
          <w:tcPr>
            <w:tcW w:type="dxa" w:w="316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(paper)</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0.9998</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0.8997</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0.9270</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0.9987</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0.8426</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0.8852</w:t>
            </w:r>
          </w:p>
        </w:tc>
      </w:tr>
      <w:tr>
        <w:tc>
          <w:tcPr>
            <w:tcW w:type="dxa" w:w="316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0.9996</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0.8982</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0.9258</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0.9989</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0.8369</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0.8811</w:t>
            </w:r>
          </w:p>
        </w:tc>
      </w:tr>
      <w:tr>
        <w:tc>
          <w:tcPr>
            <w:tcW w:type="dxa" w:w="316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TA</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0.9994</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0.9006</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0.9276</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0.9984</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0.8349</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0.8795</w:t>
            </w:r>
          </w:p>
        </w:tc>
      </w:tr>
      <w:tr>
        <w:tc>
          <w:tcPr>
            <w:tcW w:type="dxa" w:w="316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0.9999</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0.9005</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0.9277</w:t>
            </w:r>
          </w:p>
        </w:tc>
        <w:tc>
          <w:tcPr>
            <w:tcW w:type="dxa" w:w="19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0.9992</w:t>
            </w:r>
          </w:p>
        </w:tc>
        <w:tc>
          <w:tcPr>
            <w:tcW w:type="dxa" w:w="226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0.8490</w:t>
            </w:r>
          </w:p>
        </w:tc>
        <w:tc>
          <w:tcPr>
            <w:tcW w:type="dxa" w:w="165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0.8900</w:t>
            </w:r>
          </w:p>
        </w:tc>
      </w:tr>
      <w:tr>
        <w:tc>
          <w:tcPr>
            <w:tcW w:type="dxa" w:w="3160"/>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w:t>
            </w:r>
          </w:p>
        </w:tc>
        <w:tc>
          <w:tcPr>
            <w:tcW w:type="dxa" w:w="1917"/>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0.9996</w:t>
            </w:r>
          </w:p>
        </w:tc>
        <w:tc>
          <w:tcPr>
            <w:tcW w:type="dxa" w:w="2266"/>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0.8996</w:t>
            </w:r>
          </w:p>
        </w:tc>
        <w:tc>
          <w:tcPr>
            <w:tcW w:type="dxa" w:w="1656"/>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0.9269</w:t>
            </w:r>
          </w:p>
        </w:tc>
        <w:tc>
          <w:tcPr>
            <w:tcW w:type="dxa" w:w="1917"/>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0.9993</w:t>
            </w:r>
          </w:p>
        </w:tc>
        <w:tc>
          <w:tcPr>
            <w:tcW w:type="dxa" w:w="2266"/>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0.8451</w:t>
            </w:r>
          </w:p>
        </w:tc>
        <w:tc>
          <w:tcPr>
            <w:tcW w:type="dxa" w:w="1656"/>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0.8872</w:t>
            </w:r>
          </w:p>
        </w:tc>
      </w:tr>
    </w:tbl>
    <w:p>
      <w:pPr>
        <w:spacing w:after="0" w:before="90"/>
      </w:pPr>
      <w:r>
        <w:rPr>
          <w:rFonts w:ascii="Arial" w:cs="Arial" w:eastAsia="Arial" w:hAnsi="Arial"/>
          <w:b w:val="false"/>
          <w:bCs w:val="false"/>
          <w:i w:val="false"/>
          <w:iCs w:val="false"/>
          <w:sz w:val="15"/>
          <w:szCs w:val="15"/>
        </w:rPr>
        <w:t xml:space="preserve">Cohort users are those whose training history is exactly the curriculum prefix 46→47→21; the full curriculum is 46→47→21→52→60. Mean over ten seeds (single value for the deterministic baselines). Under the strict protocol the Markov models cannot reach course 60 from course 21 because course 52 (the validation target) is not in their history.</w:t>
      </w:r>
    </w:p>
    <w:p>
      <w:pPr>
        <w:pageBreakBefore/>
      </w:pPr>
    </w:p>
    <w:p>
      <w:pPr>
        <w:keepNext/>
        <w:spacing w:after="100" w:before="0"/>
      </w:pPr>
      <w:r>
        <w:rPr>
          <w:rFonts w:ascii="Arial" w:cs="Arial" w:eastAsia="Arial" w:hAnsi="Arial"/>
          <w:b/>
          <w:bCs/>
          <w:i w:val="false"/>
          <w:iCs w:val="false"/>
          <w:sz w:val="19"/>
          <w:szCs w:val="19"/>
        </w:rPr>
        <w:t xml:space="preserve">Table S1. </w:t>
      </w:r>
      <w:r>
        <w:rPr>
          <w:rFonts w:ascii="Arial" w:cs="Arial" w:eastAsia="Arial" w:hAnsi="Arial"/>
          <w:b w:val="false"/>
          <w:bCs w:val="false"/>
          <w:i w:val="false"/>
          <w:iCs w:val="false"/>
          <w:sz w:val="19"/>
          <w:szCs w:val="19"/>
        </w:rPr>
        <w:t xml:space="preserve">All metrics for the baselines and the six tuned neural models (E7b)</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26"/>
        <w:gridCol w:w="1119"/>
        <w:gridCol w:w="1063"/>
        <w:gridCol w:w="1063"/>
        <w:gridCol w:w="1063"/>
        <w:gridCol w:w="1063"/>
        <w:gridCol w:w="1063"/>
        <w:gridCol w:w="1063"/>
        <w:gridCol w:w="1063"/>
        <w:gridCol w:w="1063"/>
        <w:gridCol w:w="1063"/>
        <w:gridCol w:w="1063"/>
        <w:gridCol w:w="1063"/>
      </w:tblGrid>
      <w:tr>
        <w:trPr>
          <w:tblHeader/>
        </w:trPr>
        <w:tc>
          <w:tcPr>
            <w:tcW w:type="dxa" w:w="2026"/>
            <w:vMerge w:val="restart"/>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Model</w:t>
            </w:r>
          </w:p>
        </w:tc>
        <w:tc>
          <w:tcPr>
            <w:tcW w:type="dxa" w:w="6434"/>
            <w:gridSpan w:val="6"/>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 protocol</w:t>
            </w:r>
          </w:p>
        </w:tc>
        <w:tc>
          <w:tcPr>
            <w:tcW w:type="dxa" w:w="6378"/>
            <w:gridSpan w:val="6"/>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protocol</w:t>
            </w:r>
          </w:p>
        </w:tc>
      </w:tr>
      <w:tr>
        <w:trPr>
          <w:tblHeader/>
        </w:trPr>
        <w:tc>
          <w:tcPr>
            <w:vMerge w:val="continue"/>
            <w:tcBorders>
              <w:top w:val="single" w:color="000000" w:sz="10"/>
              <w:left w:val="none" w:color="FFFFFF" w:sz="0"/>
              <w:bottom w:val="single" w:color="000000" w:sz="4"/>
              <w:right w:val="none" w:color="FFFFFF" w:sz="0"/>
            </w:tcBorders>
          </w:tcPr>
          <w:p/>
        </w:tc>
        <w:tc>
          <w:tcPr>
            <w:tcW w:type="dxa" w:w="1119"/>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Hit@5</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MRR@10</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NDCG@10</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Coverage@10</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Hit@5</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MRR@10</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NDCG@10</w:t>
            </w:r>
          </w:p>
        </w:tc>
        <w:tc>
          <w:tcPr>
            <w:tcW w:type="dxa" w:w="10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Coverage@10</w:t>
            </w:r>
          </w:p>
        </w:tc>
      </w:tr>
      <w:tr>
        <w:tc>
          <w:tcPr>
            <w:tcW w:type="dxa" w:w="202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Popularity</w:t>
            </w:r>
          </w:p>
        </w:tc>
        <w:tc>
          <w:tcPr>
            <w:tcW w:type="dxa" w:w="111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0.0505</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0.2499</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0.4072</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0.1243</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0.1895</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0.6333</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0.0424</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0.2281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0.3962</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0.1138</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0.1786</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0.6333</w:t>
            </w:r>
          </w:p>
        </w:tc>
      </w:tr>
      <w:tr>
        <w:tc>
          <w:tcPr>
            <w:tcW w:type="dxa" w:w="202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Markov (1st order)</w:t>
            </w:r>
          </w:p>
        </w:tc>
        <w:tc>
          <w:tcPr>
            <w:tcW w:type="dxa" w:w="111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0.5759</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0.7788</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0.8669</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0.6613</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0.7102</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0.9667</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0.1149</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0.4353</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0.5511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0.2525</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0.3241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0.9667</w:t>
            </w:r>
          </w:p>
        </w:tc>
      </w:tr>
      <w:tr>
        <w:tc>
          <w:tcPr>
            <w:tcW w:type="dxa" w:w="202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Markov + context (2nd order)</w:t>
            </w:r>
          </w:p>
        </w:tc>
        <w:tc>
          <w:tcPr>
            <w:tcW w:type="dxa" w:w="111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0.5779</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0.7878</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0.8715</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0.6666</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0.7155</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0.9667</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0.1180</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0.4434</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0.5561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0.2571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0.3289</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0.9667</w:t>
            </w:r>
          </w:p>
        </w:tc>
      </w:tr>
      <w:tr>
        <w:tc>
          <w:tcPr>
            <w:tcW w:type="dxa" w:w="202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no attention</w:t>
            </w:r>
          </w:p>
        </w:tc>
        <w:tc>
          <w:tcPr>
            <w:tcW w:type="dxa" w:w="111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0.6057 ± 0.0040</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0.8427 ± 0.0026</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0.9283 ± 0.0014</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0.7065 ± 0.0026</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0.7596 ± 0.0021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0.9983 ± 0.0053</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0.1249 ± 0.0032</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0.7693 ± 0.0051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0.8824 ± 0.0024</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0.4215 ± 0.0023</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0.5356 ± 0.0017</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202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(paper)</w:t>
            </w:r>
          </w:p>
        </w:tc>
        <w:tc>
          <w:tcPr>
            <w:tcW w:type="dxa" w:w="111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0.6019 ± 0.0030</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0.8412 ± 0.0021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0.9270 ± 0.0011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0.7030 ± 0.0021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0.7567 ± 0.0018</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0.9950 ± 0.0081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0.1243 ± 0.0025</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0.7695 ± 0.0028</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0.8852 ± 0.0020</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0.4208 ± 0.0017</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0.5356 ± 0.0012</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202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w:t>
            </w:r>
          </w:p>
        </w:tc>
        <w:tc>
          <w:tcPr>
            <w:tcW w:type="dxa" w:w="111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0.6044 ± 0.0033</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0.8398 ± 0.0031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0.9258 ± 0.0015</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0.7042 ± 0.0020</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0.7573 ± 0.0017</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0.9933 ± 0.0086</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0.1236 ± 0.0022</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0.7651 ± 0.0030</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0.8811 ± 0.0044</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0.4116 ± 0.0152</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0.5275 ± 0.0119</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0.9967 ± 0.0070</w:t>
            </w:r>
          </w:p>
        </w:tc>
      </w:tr>
      <w:tr>
        <w:tc>
          <w:tcPr>
            <w:tcW w:type="dxa" w:w="202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TA</w:t>
            </w:r>
          </w:p>
        </w:tc>
        <w:tc>
          <w:tcPr>
            <w:tcW w:type="dxa" w:w="111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0.6039 ± 0.0031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0.8419 ± 0.0022</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0.9276 ± 0.0025</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0.7043 ± 0.0017</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0.7578 ± 0.0016</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0.1239 ± 0.0026</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0.7637 ± 0.0031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0.8795 ± 0.0021</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0.3866 ± 0.0345</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0.5070 ± 0.0276</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202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w:t>
            </w:r>
          </w:p>
        </w:tc>
        <w:tc>
          <w:tcPr>
            <w:tcW w:type="dxa" w:w="111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0.6127 ± 0.0028</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0.8461 ± 0.0029</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0.9277 ± 0.0018</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0.7120 ± 0.0019</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0.7637 ± 0.0015</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0.9917 ± 0.0118</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0.1266 ± 0.0022</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0.7725 ± 0.0026</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0.8900 ± 0.0027</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0.4088 ± 0.0207</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0.5273 ± 0.0162</w:t>
            </w:r>
          </w:p>
        </w:tc>
        <w:tc>
          <w:tcPr>
            <w:tcW w:type="dxa" w:w="10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2026"/>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w:t>
            </w:r>
          </w:p>
        </w:tc>
        <w:tc>
          <w:tcPr>
            <w:tcW w:type="dxa" w:w="1119"/>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0.6143 ± 0.0027</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0.8462 ± 0.0029</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0.9269 ± 0.0014</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0.7126 ± 0.0017</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0.7640 ± 0.0014</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0.1249 ± 0.0015</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0.7712 ± 0.0033</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0.8872 ± 0.0041</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0.4214 ± 0.0026</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0.5366 ± 0.0023</w:t>
            </w:r>
          </w:p>
        </w:tc>
        <w:tc>
          <w:tcPr>
            <w:tcW w:type="dxa" w:w="10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bl>
    <w:p>
      <w:pPr>
        <w:spacing w:after="0" w:before="90"/>
      </w:pPr>
      <w:r>
        <w:rPr>
          <w:rFonts w:ascii="Arial" w:cs="Arial" w:eastAsia="Arial" w:hAnsi="Arial"/>
          <w:b w:val="false"/>
          <w:bCs w:val="false"/>
          <w:i w:val="false"/>
          <w:iCs w:val="false"/>
          <w:sz w:val="15"/>
          <w:szCs w:val="15"/>
        </w:rPr>
        <w:t xml:space="preserve">Selection objective: mean of default and strict validation Hit@10. Deterministic baselines have no SD. Mean ± SD over ten seeds. Coverage@10 = distinct courses recommended in any top-10 list divided by 59 recommendable courses.</w:t>
      </w:r>
    </w:p>
    <w:p>
      <w:pPr>
        <w:pageBreakBefore/>
      </w:pPr>
    </w:p>
    <w:p>
      <w:pPr>
        <w:keepNext/>
        <w:spacing w:after="100" w:before="0"/>
      </w:pPr>
      <w:r>
        <w:rPr>
          <w:rFonts w:ascii="Arial" w:cs="Arial" w:eastAsia="Arial" w:hAnsi="Arial"/>
          <w:b/>
          <w:bCs/>
          <w:i w:val="false"/>
          <w:iCs w:val="false"/>
          <w:sz w:val="19"/>
          <w:szCs w:val="19"/>
        </w:rPr>
        <w:t xml:space="preserve">Table S2. </w:t>
      </w:r>
      <w:r>
        <w:rPr>
          <w:rFonts w:ascii="Arial" w:cs="Arial" w:eastAsia="Arial" w:hAnsi="Arial"/>
          <w:b w:val="false"/>
          <w:bCs w:val="false"/>
          <w:i w:val="false"/>
          <w:iCs w:val="false"/>
          <w:sz w:val="19"/>
          <w:szCs w:val="19"/>
        </w:rPr>
        <w:t xml:space="preserve">All metrics for the models tuned on default-protocol validation Hit@10 only (E7)</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809"/>
        <w:gridCol w:w="1138"/>
        <w:gridCol w:w="1081"/>
        <w:gridCol w:w="1081"/>
        <w:gridCol w:w="1081"/>
        <w:gridCol w:w="1081"/>
        <w:gridCol w:w="1081"/>
        <w:gridCol w:w="1081"/>
        <w:gridCol w:w="1081"/>
        <w:gridCol w:w="1081"/>
        <w:gridCol w:w="1081"/>
        <w:gridCol w:w="1081"/>
        <w:gridCol w:w="1081"/>
      </w:tblGrid>
      <w:tr>
        <w:trPr>
          <w:tblHeader/>
        </w:trPr>
        <w:tc>
          <w:tcPr>
            <w:tcW w:type="dxa" w:w="1809"/>
            <w:vMerge w:val="restart"/>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Model</w:t>
            </w:r>
          </w:p>
        </w:tc>
        <w:tc>
          <w:tcPr>
            <w:tcW w:type="dxa" w:w="6543"/>
            <w:gridSpan w:val="6"/>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 protocol</w:t>
            </w:r>
          </w:p>
        </w:tc>
        <w:tc>
          <w:tcPr>
            <w:tcW w:type="dxa" w:w="6486"/>
            <w:gridSpan w:val="6"/>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protocol</w:t>
            </w:r>
          </w:p>
        </w:tc>
      </w:tr>
      <w:tr>
        <w:trPr>
          <w:tblHeader/>
        </w:trPr>
        <w:tc>
          <w:tcPr>
            <w:vMerge w:val="continue"/>
            <w:tcBorders>
              <w:top w:val="single" w:color="000000" w:sz="10"/>
              <w:left w:val="none" w:color="FFFFFF" w:sz="0"/>
              <w:bottom w:val="single" w:color="000000" w:sz="4"/>
              <w:right w:val="none" w:color="FFFFFF" w:sz="0"/>
            </w:tcBorders>
          </w:tcPr>
          <w:p/>
        </w:tc>
        <w:tc>
          <w:tcPr>
            <w:tcW w:type="dxa" w:w="1138"/>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Hit@5</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MRR@10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NDCG@10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Coverage@10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Hit@5</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MRR@10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NDCG@10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Coverage@10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no attention</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0.6020 ± 0.0027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0.8455 ± 0.0028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0.9299 ± 0.0019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0.7041 ± 0.0026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0.7582 ± 0.0022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0.1222 ± 0.0023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0.7669 ± 0.0039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0.8858 ± 0.0020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0.4184 ± 0.0013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0.5340 ± 0.0013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(paper)</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0.6025 ± 0.0028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0.8430 ± 0.0019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0.9292 ± 0.0021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0.7042 ± 0.0019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0.7581 ± 0.0016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0.1231 ± 0.0019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0.7705 ± 0.0031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0.8866 ± 0.0028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0.4203 ± 0.0022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0.5356 ± 0.0021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0.6042 ± 0.0030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0.8369 ± 0.0023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0.9217 ± 0.0021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0.7033 ± 0.0018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0.7557 ± 0.0016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0.1271 ± 0.0042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0.7659 ± 0.0035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0.8783 ± 0.0025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0.4049 ± 0.0330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0.5212 ± 0.0267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0.9967 ± 0.0070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TA</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0.6035 ± 0.0050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0.8394 ± 0.0041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0.9259 ± 0.0019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0.7039 ± 0.0031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0.7571 ± 0.0026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0.1243 ± 0.0022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0.7643 ± 0.0030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0.8793 ± 0.0025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0.4119 ± 0.0219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0.5272 ± 0.0178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0.6120 ± 0.0033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0.8453 ± 0.0011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0.9276 ± 0.0023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0.7115 ± 0.0023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0.7634 ± 0.0021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0.9983 ± 0.0053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0.1260 ± 0.0016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0.7708 ± 0.0026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0.8843 ± 0.0020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0.4103 ± 0.0236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0.5271 ± 0.0190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0.6147 ± 0.0026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0.8481 ± 0.0028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0.9268 ± 0.0015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0.7130 ± 0.0015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0.7643 ± 0.0013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0.9983 ± 0.0053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0.1253 ± 0.0024</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0.7730 ± 0.0030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0.8884 ± 0.0032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0.4225 ± 0.0026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0.5377 ± 0.0026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1809"/>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Keras MHA</w:t>
            </w:r>
          </w:p>
        </w:tc>
        <w:tc>
          <w:tcPr>
            <w:tcW w:type="dxa" w:w="1138"/>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0.6006 ± 0.0044</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0.8400 ± 0.0020</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0.9263 ± 0.0026</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0.7019 ± 0.0024</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0.7556 ± 0.0018</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0.9983 ± 0.0053</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0.1260 ± 0.0020</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0.7696 ± 0.0037</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0.8817 ± 0.0038</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0.4208 ± 0.0019</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0.5348 ± 0.0018</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bl>
    <w:p>
      <w:pPr>
        <w:spacing w:after="0" w:before="90"/>
      </w:pPr>
      <w:r>
        <w:rPr>
          <w:rFonts w:ascii="Arial" w:cs="Arial" w:eastAsia="Arial" w:hAnsi="Arial"/>
          <w:b w:val="false"/>
          <w:bCs w:val="false"/>
          <w:i w:val="false"/>
          <w:iCs w:val="false"/>
          <w:sz w:val="15"/>
          <w:szCs w:val="15"/>
        </w:rPr>
        <w:t xml:space="preserve">Same search as E7b, objective = validation Hit@10 of the default protocol. Mean ± SD over ten seeds. Coverage@10 = distinct courses recommended in any top-10 list divided by 59 recommendable courses.</w:t>
      </w:r>
    </w:p>
    <w:p>
      <w:pPr>
        <w:pageBreakBefore/>
      </w:pPr>
    </w:p>
    <w:p>
      <w:pPr>
        <w:keepNext/>
        <w:spacing w:after="100" w:before="0"/>
      </w:pPr>
      <w:r>
        <w:rPr>
          <w:rFonts w:ascii="Arial" w:cs="Arial" w:eastAsia="Arial" w:hAnsi="Arial"/>
          <w:b/>
          <w:bCs/>
          <w:i w:val="false"/>
          <w:iCs w:val="false"/>
          <w:sz w:val="19"/>
          <w:szCs w:val="19"/>
        </w:rPr>
        <w:t xml:space="preserve">Table S3. </w:t>
      </w:r>
      <w:r>
        <w:rPr>
          <w:rFonts w:ascii="Arial" w:cs="Arial" w:eastAsia="Arial" w:hAnsi="Arial"/>
          <w:b w:val="false"/>
          <w:bCs w:val="false"/>
          <w:i w:val="false"/>
          <w:iCs w:val="false"/>
          <w:sz w:val="19"/>
          <w:szCs w:val="19"/>
        </w:rPr>
        <w:t xml:space="preserve">All metrics for the earlier models with a small tuning grid (E3–E5)</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809"/>
        <w:gridCol w:w="1138"/>
        <w:gridCol w:w="1081"/>
        <w:gridCol w:w="1081"/>
        <w:gridCol w:w="1081"/>
        <w:gridCol w:w="1081"/>
        <w:gridCol w:w="1081"/>
        <w:gridCol w:w="1081"/>
        <w:gridCol w:w="1081"/>
        <w:gridCol w:w="1081"/>
        <w:gridCol w:w="1081"/>
        <w:gridCol w:w="1081"/>
        <w:gridCol w:w="1081"/>
      </w:tblGrid>
      <w:tr>
        <w:trPr>
          <w:tblHeader/>
        </w:trPr>
        <w:tc>
          <w:tcPr>
            <w:tcW w:type="dxa" w:w="1809"/>
            <w:vMerge w:val="restart"/>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Model</w:t>
            </w:r>
          </w:p>
        </w:tc>
        <w:tc>
          <w:tcPr>
            <w:tcW w:type="dxa" w:w="6543"/>
            <w:gridSpan w:val="6"/>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 protocol</w:t>
            </w:r>
          </w:p>
        </w:tc>
        <w:tc>
          <w:tcPr>
            <w:tcW w:type="dxa" w:w="6486"/>
            <w:gridSpan w:val="6"/>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protocol</w:t>
            </w:r>
          </w:p>
        </w:tc>
      </w:tr>
      <w:tr>
        <w:trPr>
          <w:tblHeader/>
        </w:trPr>
        <w:tc>
          <w:tcPr>
            <w:vMerge w:val="continue"/>
            <w:tcBorders>
              <w:top w:val="single" w:color="000000" w:sz="10"/>
              <w:left w:val="none" w:color="FFFFFF" w:sz="0"/>
              <w:bottom w:val="single" w:color="000000" w:sz="4"/>
              <w:right w:val="none" w:color="FFFFFF" w:sz="0"/>
            </w:tcBorders>
          </w:tcPr>
          <w:p/>
        </w:tc>
        <w:tc>
          <w:tcPr>
            <w:tcW w:type="dxa" w:w="1138"/>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Hit@5</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MRR@10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NDCG@10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Coverage@10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Hit@5</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MRR@10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NDCG@10</w:t>
            </w:r>
          </w:p>
        </w:tc>
        <w:tc>
          <w:tcPr>
            <w:tcW w:type="dxa" w:w="108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Coverage@10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no attention</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0.5951 ± 0.0030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0.8379 ± 0.0032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0.9239 ± 0.0015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0.6974 ± 0.0016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0.7516 ± 0.0012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0.9983 ± 0.0053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0.1221 ± 0.0028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0.7647 ± 0.0047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0.8809 ± 0.0040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0.4167 ± 0.0031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0.5314 ± 0.0029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0.9983 ± 0.0053</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(paper)</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0.5937 ± 0.0041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0.8377 ± 0.0043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0.9235 ± 0.0030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0.6966 ± 0.0029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0.7510 ± 0.0023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0.9983 ± 0.0053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0.1223 ± 0.0027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0.7668 ± 0.0023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0.8821 ± 0.0019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0.4121 ± 0.0133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0.5281 ± 0.0106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Keras MHA</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0.5966 ± 0.0028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0.8371 ± 0.0028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0.9255 ± 0.0026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0.6984 ± 0.0025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0.7528 ± 0.0021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0.9983 ± 0.0053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0.1225 ± 0.0036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0.7661 ± 0.0048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0.8804 ± 0.0045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0.4077 ± 0.0196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0.5243 ± 0.0162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0.9983 ± 0.0053</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0.5981 ± 0.0039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0.8362 ± 0.0044</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0.9242 ± 0.0021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0.6989 ± 0.0026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0.7528 ± 0.0023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0.9983 ± 0.0053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0.1218 ± 0.0021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0.7634 ± 0.0042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0.8811 ± 0.0024</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0.4052 ± 0.0197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0.5223 ± 0.0157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0.9967 ± 0.0070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TA</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0.6002 ± 0.0024</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0.8338 ± 0.0033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0.9192 ± 0.0021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0.6995 ± 0.0019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0.7521 ± 0.0018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0.1241 ± 0.0025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0.7568 ± 0.0097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0.8742 ± 0.0041</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0.4097 ± 0.0138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0.5243 ± 0.0112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features</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0.6020 ± 0.0034</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0.8389 ± 0.0017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0.9248 ± 0.0030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0.7024 ± 0.0020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0.7557 ± 0.0018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0.1232 ± 0.0025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0.7662 ± 0.0042</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0.8816 ± 0.0035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0.3951 ± 0.0286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0.5145 ± 0.0227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0.6126 ± 0.0027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0.8460 ± 0.0026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0.9282 ± 0.0019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0.7119 ± 0.0018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0.7638 ± 0.0013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0.9900 ± 0.0086</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0.1264 ± 0.0023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0.7723 ± 0.0028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0.8909 ± 0.0033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0.4148 ± 0.0193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0.5322 ± 0.0148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0.9967 ± 0.0070</w:t>
            </w:r>
          </w:p>
        </w:tc>
      </w:tr>
      <w:tr>
        <w:tc>
          <w:tcPr>
            <w:tcW w:type="dxa" w:w="180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w:t>
            </w:r>
          </w:p>
        </w:tc>
        <w:tc>
          <w:tcPr>
            <w:tcW w:type="dxa" w:w="1138"/>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0.6087 ± 0.0024</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0.8432 ± 0.0024</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0.9279 ± 0.0019</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0.7083 ± 0.0017</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0.7609 ± 0.0013</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0.1214 ± 0.0024</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0.7705 ± 0.0030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0.8878 ± 0.0020</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0.4188 ± 0.0018</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0.5348 ± 0.0015</w:t>
            </w:r>
          </w:p>
        </w:tc>
        <w:tc>
          <w:tcPr>
            <w:tcW w:type="dxa" w:w="108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r>
        <w:tc>
          <w:tcPr>
            <w:tcW w:type="dxa" w:w="1809"/>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features</w:t>
            </w:r>
          </w:p>
        </w:tc>
        <w:tc>
          <w:tcPr>
            <w:tcW w:type="dxa" w:w="1138"/>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0.6125 ± 0.0026</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0.8460 ± 0.0014</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0.9278 ± 0.0022</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0.7116 ± 0.0016</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0.7635 ± 0.0012</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0.9950 ± 0.0081</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0.1274 ± 0.0013</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0.7469 ± 0.0854</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0.8634 ± 0.0859</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0.3947 ± 0.0448</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0.5098 ± 0.0531</w:t>
            </w:r>
          </w:p>
        </w:tc>
        <w:tc>
          <w:tcPr>
            <w:tcW w:type="dxa" w:w="108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1.0000 ± 0.0000</w:t>
            </w:r>
          </w:p>
        </w:tc>
      </w:tr>
    </w:tbl>
    <w:p>
      <w:pPr>
        <w:spacing w:after="0" w:before="90"/>
      </w:pPr>
      <w:r>
        <w:rPr>
          <w:rFonts w:ascii="Arial" w:cs="Arial" w:eastAsia="Arial" w:hAnsi="Arial"/>
          <w:b w:val="false"/>
          <w:bCs w:val="false"/>
          <w:i w:val="false"/>
          <w:iCs w:val="false"/>
          <w:sz w:val="15"/>
          <w:szCs w:val="15"/>
        </w:rPr>
        <w:t xml:space="preserve">LSTM variants used the paper's fixed architecture; GRU4Rec and SASRec were tuned on a grid of 4 to 6 configurations (validation, seed 42). Mean ± SD over ten seeds. Coverage@10 = distinct courses recommended in any top-10 list divided by 59 recommendable courses.</w:t>
      </w:r>
    </w:p>
    <w:p>
      <w:pPr>
        <w:pageBreakBefore/>
      </w:pPr>
    </w:p>
    <w:p>
      <w:pPr>
        <w:keepNext/>
        <w:spacing w:after="100" w:before="0"/>
      </w:pPr>
      <w:r>
        <w:rPr>
          <w:rFonts w:ascii="Arial" w:cs="Arial" w:eastAsia="Arial" w:hAnsi="Arial"/>
          <w:b/>
          <w:bCs/>
          <w:i w:val="false"/>
          <w:iCs w:val="false"/>
          <w:sz w:val="19"/>
          <w:szCs w:val="19"/>
        </w:rPr>
        <w:t xml:space="preserve">Table S4. </w:t>
      </w:r>
      <w:r>
        <w:rPr>
          <w:rFonts w:ascii="Arial" w:cs="Arial" w:eastAsia="Arial" w:hAnsi="Arial"/>
          <w:b w:val="false"/>
          <w:bCs w:val="false"/>
          <w:i w:val="false"/>
          <w:iCs w:val="false"/>
          <w:sz w:val="19"/>
          <w:szCs w:val="19"/>
        </w:rPr>
        <w:t xml:space="preserve">Paired differences for Hit@10, Hit@1 and MRR@10 between the tuned models (E7b, all users)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791"/>
        <w:gridCol w:w="1597"/>
        <w:gridCol w:w="1730"/>
        <w:gridCol w:w="1730"/>
        <w:gridCol w:w="1597"/>
        <w:gridCol w:w="2263"/>
        <w:gridCol w:w="2130"/>
      </w:tblGrid>
      <w:tr>
        <w:trPr>
          <w:tblHeader/>
        </w:trPr>
        <w:tc>
          <w:tcPr>
            <w:tcW w:type="dxa" w:w="3791"/>
            <w:vMerge w:val="restart"/>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Comparison</w:t>
            </w:r>
          </w:p>
        </w:tc>
        <w:tc>
          <w:tcPr>
            <w:tcW w:type="dxa" w:w="3327"/>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 (pp)</w:t>
            </w:r>
          </w:p>
        </w:tc>
        <w:tc>
          <w:tcPr>
            <w:tcW w:type="dxa" w:w="3327"/>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 (pp)</w:t>
            </w:r>
          </w:p>
        </w:tc>
        <w:tc>
          <w:tcPr>
            <w:tcW w:type="dxa" w:w="4393"/>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MRR@10 (reciprocal-rank units)</w:t>
            </w:r>
          </w:p>
        </w:tc>
      </w:tr>
      <w:tr>
        <w:trPr>
          <w:tblHeader/>
        </w:trPr>
        <w:tc>
          <w:tcPr>
            <w:vMerge w:val="continue"/>
            <w:tcBorders>
              <w:top w:val="single" w:color="000000" w:sz="10"/>
              <w:left w:val="none" w:color="FFFFFF" w:sz="0"/>
              <w:bottom w:val="single" w:color="000000" w:sz="4"/>
              <w:right w:val="none" w:color="FFFFFF" w:sz="0"/>
            </w:tcBorders>
          </w:tcPr>
          <w:p/>
        </w:tc>
        <w:tc>
          <w:tcPr>
            <w:tcW w:type="dxa" w:w="1597"/>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w:t>
            </w:r>
          </w:p>
        </w:tc>
        <w:tc>
          <w:tcPr>
            <w:tcW w:type="dxa" w:w="1730"/>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w:t>
            </w:r>
          </w:p>
        </w:tc>
        <w:tc>
          <w:tcPr>
            <w:tcW w:type="dxa" w:w="1730"/>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w:t>
            </w:r>
          </w:p>
        </w:tc>
        <w:tc>
          <w:tcPr>
            <w:tcW w:type="dxa" w:w="1597"/>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w:t>
            </w:r>
          </w:p>
        </w:tc>
        <w:tc>
          <w:tcPr>
            <w:tcW w:type="dxa" w:w="2263"/>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w:t>
            </w:r>
          </w:p>
        </w:tc>
        <w:tc>
          <w:tcPr>
            <w:tcW w:type="dxa" w:w="2130"/>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without TA: SASRec − LSTM</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−0.06 [−0.37, +0.25]</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 [+0.35, +1.16] *</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+0.69 [+0.18, +1.21]</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 [−0.25, +0.60]</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+0.0055 [+0.0020, +0.0090] *</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−0.0127 [−0.0158, −0.0095] *</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without TA: GRU4Rec − LSTM</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−0.24 [−0.52, +0.03]</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[−0.44, +0.19]</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−0.14 [−0.55, +0.28]</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[−0.45, +0.21]</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−0.0022 [−0.0050, +0.0005]</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−0.0099 [−0.0123, −0.0075] *</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without TA: SASRec − GRU4Rec</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+0.18 [−0.16, +0.51]</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+0.89 [+0.49, +1.29] *</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+0.83 [+0.29, +1.38] *</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+0.29 [−0.14, +0.73]</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+0.0077 [+0.0040, +0.0115] *</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−0.0028 [−0.0059, +0.0003]</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 TA: SASRec + TA − LSTM + attention</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−0.01 [−0.30, +0.27]</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+0.20 [−0.14, +0.55]</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+1.24 [+0.76, +1.73] *</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 [−0.35, +0.46]</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+0.0095 [+0.0063, +0.0129] *</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+0.0006 [−0.0022, +0.0035]</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 TA: GRU4Rec + TA − LSTM + attention</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 [−0.23, +0.34]</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−0.57 [−0.89, −0.24] *</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+0.20 [−0.19, +0.60]</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−0.04 [−0.38, +0.30]</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+0.0013 [−0.0014, +0.0039]</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−0.0341 [−0.0369, −0.0313] *</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 TA: SASRec + TA − GRU4Rec + TA</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 [−0.36, +0.22]</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 [+0.41, +1.11] *</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+1.04 [+0.55, +1.53] *</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+0.10 [−0.28, +0.47]</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+0.0083 [+0.0050, +0.0116] *</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+0.0348 [+0.0317, +0.0378] *</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Temporal attention (with − without): LSTM</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[−0.34, +0.08]</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 [+0.02, +0.54]</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−0.39 [−0.69, −0.10]</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−0.06 [−0.32, +0.19]</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−0.0034 [−0.0054, −0.0015] *</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−0.0007 [−0.0025, +0.0010]</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Temporal attention (with − without): GRU4Rec</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 [−0.07, +0.42]</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−0.15 [−0.43, +0.12]</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 [−0.39, +0.29]</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+0.02 [−0.24, +0.29]</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+0.0001 [−0.0022, +0.0023]</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−0.0250 [−0.0272, −0.0227] *</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Temporal attention (with − without): SASRec</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 [−0.30, +0.14]</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 [−0.55, −0.01]</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+0.16 [−0.17, +0.48]</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 [−0.47, +0.13]</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+0.0006 [−0.0016, +0.0028]</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+0.0126 [+0.0105, +0.0147] *</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LSTM, no attention</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−0.16 [−0.37, +0.04]</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−0.34 [−0.59, −0.09]</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+0.38 [+0.09, +0.67]</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+0.27 [+0.03, +0.51]</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+0.0024 [+0.0005, +0.0043]</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+0.0031 [+0.0014, +0.0048] *</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LSTM + attention</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−0.22 [−0.40, −0.05]</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[−0.34, +0.07]</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 [−0.34, +0.20]</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 [−0.11, +0.34]</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−0.0012 [−0.0029, +0.0005]</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+0.0004 [−0.0010, +0.0019]</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GRU4Rec</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 [+0.14, +0.67]</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 [−0.01, +0.58]</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+0.02 [−0.34, +0.39]</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−0.35 [−0.65, −0.04]</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+0.0009 [−0.0014, +0.0034]</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+0.0068 [+0.0046, +0.0090] *</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GRU4Rec + TA</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+0.16 [−0.02, +0.35]</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+0.03 [−0.19, +0.25]</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+0.04 [−0.23, +0.30]</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−0.04 [−0.26, +0.18]</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+0.0004 [−0.0013, +0.0021]</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−0.0253 [−0.0271, −0.0234] *</w:t>
            </w:r>
          </w:p>
        </w:tc>
      </w:tr>
      <w:tr>
        <w:tc>
          <w:tcPr>
            <w:tcW w:type="dxa" w:w="37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SASRec</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 [−0.19, +0.20]</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+0.56 [+0.33, +0.79] *</w:t>
            </w:r>
          </w:p>
        </w:tc>
        <w:tc>
          <w:tcPr>
            <w:tcW w:type="dxa" w:w="17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 [−0.20, +0.35]</w:t>
            </w:r>
          </w:p>
        </w:tc>
        <w:tc>
          <w:tcPr>
            <w:tcW w:type="dxa" w:w="159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+0.06 [−0.18, +0.30]</w:t>
            </w:r>
          </w:p>
        </w:tc>
        <w:tc>
          <w:tcPr>
            <w:tcW w:type="dxa" w:w="226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+0.0005 [−0.0013, +0.0023]</w:t>
            </w:r>
          </w:p>
        </w:tc>
        <w:tc>
          <w:tcPr>
            <w:tcW w:type="dxa" w:w="213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−0.0015 [−0.0031, +0.0002]</w:t>
            </w:r>
          </w:p>
        </w:tc>
      </w:tr>
      <w:tr>
        <w:tc>
          <w:tcPr>
            <w:tcW w:type="dxa" w:w="379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SASRec + TA</w:t>
            </w:r>
          </w:p>
        </w:tc>
        <w:tc>
          <w:tcPr>
            <w:tcW w:type="dxa" w:w="1597"/>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+0.01 [−0.15, +0.16]</w:t>
            </w:r>
          </w:p>
        </w:tc>
        <w:tc>
          <w:tcPr>
            <w:tcW w:type="dxa" w:w="1730"/>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[−0.34, +0.08]</w:t>
            </w:r>
          </w:p>
        </w:tc>
        <w:tc>
          <w:tcPr>
            <w:tcW w:type="dxa" w:w="1730"/>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−0.04 [−0.28, +0.20]</w:t>
            </w:r>
          </w:p>
        </w:tc>
        <w:tc>
          <w:tcPr>
            <w:tcW w:type="dxa" w:w="1597"/>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−0.04 [−0.25, +0.17]</w:t>
            </w:r>
          </w:p>
        </w:tc>
        <w:tc>
          <w:tcPr>
            <w:tcW w:type="dxa" w:w="226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−0.0004 [−0.0019, +0.0010]</w:t>
            </w:r>
          </w:p>
        </w:tc>
        <w:tc>
          <w:tcPr>
            <w:tcW w:type="dxa" w:w="2130"/>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−0.0010 [−0.0024, +0.0003]</w:t>
            </w:r>
          </w:p>
        </w:tc>
      </w:tr>
    </w:tbl>
    <w:p>
      <w:pPr>
        <w:spacing w:after="0" w:before="90"/>
      </w:pPr>
      <w:r>
        <w:rPr>
          <w:rFonts w:ascii="Arial" w:cs="Arial" w:eastAsia="Arial" w:hAnsi="Arial"/>
          <w:b w:val="false"/>
          <w:bCs w:val="false"/>
          <w:i w:val="false"/>
          <w:iCs w:val="false"/>
          <w:sz w:val="15"/>
          <w:szCs w:val="15"/>
        </w:rPr>
        <w:t xml:space="preserve">Same method and comparisons as Table 2 (first minus second). * Holm-adjusted p &lt; 0.05. MRR@10 under the strict protocol varies strongly between seeds for several models (SD up to 0.035; Table S1), so differences in that column should be read with caution. Machine-readable version with all subsets and p values: results/e7bstats_paired_ci.csv.</w:t>
      </w:r>
    </w:p>
    <w:p>
      <w:pPr>
        <w:pageBreakBefore/>
      </w:pPr>
    </w:p>
    <w:p>
      <w:pPr>
        <w:keepNext/>
        <w:spacing w:after="100" w:before="0"/>
      </w:pPr>
      <w:r>
        <w:rPr>
          <w:rFonts w:ascii="Arial" w:cs="Arial" w:eastAsia="Arial" w:hAnsi="Arial"/>
          <w:b/>
          <w:bCs/>
          <w:i w:val="false"/>
          <w:iCs w:val="false"/>
          <w:sz w:val="19"/>
          <w:szCs w:val="19"/>
        </w:rPr>
        <w:t xml:space="preserve">Table S5. </w:t>
      </w:r>
      <w:r>
        <w:rPr>
          <w:rFonts w:ascii="Arial" w:cs="Arial" w:eastAsia="Arial" w:hAnsi="Arial"/>
          <w:b w:val="false"/>
          <w:bCs w:val="false"/>
          <w:i w:val="false"/>
          <w:iCs w:val="false"/>
          <w:sz w:val="19"/>
          <w:szCs w:val="19"/>
        </w:rPr>
        <w:t xml:space="preserve">Sensitivity of the paired Hit@10 differences (E7b) to seed 89 and to seed choice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71"/>
        <w:gridCol w:w="1499"/>
        <w:gridCol w:w="1424"/>
        <w:gridCol w:w="1424"/>
        <w:gridCol w:w="974"/>
        <w:gridCol w:w="1424"/>
        <w:gridCol w:w="1424"/>
        <w:gridCol w:w="1424"/>
        <w:gridCol w:w="974"/>
      </w:tblGrid>
      <w:tr>
        <w:trPr>
          <w:tblHeader/>
        </w:trPr>
        <w:tc>
          <w:tcPr>
            <w:tcW w:type="dxa" w:w="4271"/>
            <w:vMerge w:val="restart"/>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Comparison</w:t>
            </w:r>
          </w:p>
        </w:tc>
        <w:tc>
          <w:tcPr>
            <w:tcW w:type="dxa" w:w="5321"/>
            <w:gridSpan w:val="4"/>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 protocol</w:t>
            </w:r>
          </w:p>
        </w:tc>
        <w:tc>
          <w:tcPr>
            <w:tcW w:type="dxa" w:w="5246"/>
            <w:gridSpan w:val="4"/>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protocol</w:t>
            </w:r>
          </w:p>
        </w:tc>
      </w:tr>
      <w:tr>
        <w:trPr>
          <w:tblHeader/>
        </w:trPr>
        <w:tc>
          <w:tcPr>
            <w:vMerge w:val="continue"/>
            <w:tcBorders>
              <w:top w:val="single" w:color="000000" w:sz="10"/>
              <w:left w:val="none" w:color="FFFFFF" w:sz="0"/>
              <w:bottom w:val="single" w:color="000000" w:sz="4"/>
              <w:right w:val="none" w:color="FFFFFF" w:sz="0"/>
            </w:tcBorders>
          </w:tcPr>
          <w:p/>
        </w:tc>
        <w:tc>
          <w:tcPr>
            <w:tcW w:type="dxa" w:w="1499"/>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All 10 seeds</w:t>
            </w:r>
          </w:p>
        </w:tc>
        <w:tc>
          <w:tcPr>
            <w:tcW w:type="dxa" w:w="142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Without seed 89</w:t>
            </w:r>
          </w:p>
        </w:tc>
        <w:tc>
          <w:tcPr>
            <w:tcW w:type="dxa" w:w="142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Verdict changes</w:t>
            </w:r>
          </w:p>
        </w:tc>
        <w:tc>
          <w:tcPr>
            <w:tcW w:type="dxa" w:w="97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Seeds won</w:t>
            </w:r>
          </w:p>
        </w:tc>
        <w:tc>
          <w:tcPr>
            <w:tcW w:type="dxa" w:w="142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All 10 seeds</w:t>
            </w:r>
          </w:p>
        </w:tc>
        <w:tc>
          <w:tcPr>
            <w:tcW w:type="dxa" w:w="142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Without seed 89</w:t>
            </w:r>
          </w:p>
        </w:tc>
        <w:tc>
          <w:tcPr>
            <w:tcW w:type="dxa" w:w="142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Verdict changes</w:t>
            </w:r>
          </w:p>
        </w:tc>
        <w:tc>
          <w:tcPr>
            <w:tcW w:type="dxa" w:w="974"/>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Seeds won</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without TA: SASRec − LSTM</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−0.06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−0.02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4/10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+0.75 (sig)</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+0.80 (sig)</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without TA: GRU4Rec − LSTM</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−0.24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−0.23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without TA: SASRec − GRU4Rec</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+0.18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+0.21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8/10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+0.89 (sig)</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+0.93 (sig)</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9/10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 TA: SASRec + TA − LSTM + attention</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−0.01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6/10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+0.20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+0.20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7/10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 TA: GRU4Rec + TA − LSTM + attention</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6/10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−0.57 (sig)</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−0.57 (sig)</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Backbone, with TA: SASRec + TA − GRU4Rec + TA</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−0.06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+0.76 (sig)</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+0.77 (sig)</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Temporal attention (with − without): LSTM</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−0.11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+0.33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8/10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Temporal attention (with − without): GRU4Rec</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7/10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−0.15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−0.10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4/10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Temporal attention (with − without): SASRec</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−0.09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−0.26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LSTM, no attention</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−0.16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−0.15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−0.34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−0.37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LSTM + attention</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−0.22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−0.24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−0.18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GRU4Rec</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+0.41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+0.23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5/10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GRU4Rec + TA</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+0.16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7/10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+0.03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6/10</w:t>
            </w:r>
          </w:p>
        </w:tc>
      </w:tr>
      <w:tr>
        <w:tc>
          <w:tcPr>
            <w:tcW w:type="dxa" w:w="427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SASRec</w:t>
            </w:r>
          </w:p>
        </w:tc>
        <w:tc>
          <w:tcPr>
            <w:tcW w:type="dxa" w:w="149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+0.02 (n.s.)</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4/10</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+0.56 (sig)</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+0.54 (sig)</w:t>
            </w:r>
          </w:p>
        </w:tc>
        <w:tc>
          <w:tcPr>
            <w:tcW w:type="dxa" w:w="142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10/10</w:t>
            </w:r>
          </w:p>
        </w:tc>
      </w:tr>
      <w:tr>
        <w:tc>
          <w:tcPr>
            <w:tcW w:type="dxa" w:w="427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Selection objective (E7b − E7): SASRec + TA</w:t>
            </w:r>
          </w:p>
        </w:tc>
        <w:tc>
          <w:tcPr>
            <w:tcW w:type="dxa" w:w="1499"/>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+0.01 (n.s.)</w:t>
            </w:r>
          </w:p>
        </w:tc>
        <w:tc>
          <w:tcPr>
            <w:tcW w:type="dxa" w:w="142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+0.03 (n.s.)</w:t>
            </w:r>
          </w:p>
        </w:tc>
        <w:tc>
          <w:tcPr>
            <w:tcW w:type="dxa" w:w="142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5/10</w:t>
            </w:r>
          </w:p>
        </w:tc>
        <w:tc>
          <w:tcPr>
            <w:tcW w:type="dxa" w:w="142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−0.13 (n.s.)</w:t>
            </w:r>
          </w:p>
        </w:tc>
        <w:tc>
          <w:tcPr>
            <w:tcW w:type="dxa" w:w="142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−0.11 (n.s.)</w:t>
            </w:r>
          </w:p>
        </w:tc>
        <w:tc>
          <w:tcPr>
            <w:tcW w:type="dxa" w:w="142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no</w:t>
            </w:r>
          </w:p>
        </w:tc>
        <w:tc>
          <w:tcPr>
            <w:tcW w:type="dxa" w:w="97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4/10</w:t>
            </w:r>
          </w:p>
        </w:tc>
      </w:tr>
    </w:tbl>
    <w:p>
      <w:pPr>
        <w:spacing w:after="0" w:before="90"/>
      </w:pPr>
      <w:r>
        <w:rPr>
          <w:rFonts w:ascii="Arial" w:cs="Arial" w:eastAsia="Arial" w:hAnsi="Arial"/>
          <w:b w:val="false"/>
          <w:bCs w:val="false"/>
          <w:i w:val="false"/>
          <w:iCs w:val="false"/>
          <w:sz w:val="15"/>
          <w:szCs w:val="15"/>
        </w:rPr>
        <w:t xml:space="preserve">Δ in percentage points, all users; sig = Holm-adjusted p &lt; 0.05. Seeds won = number of seeds in which the first-named model has the higher Hit@10 (seed-level paired comparison, same seed for both models). Seed 89 is the seed in which the SASRec + features model of E4 failed under the strict protocol (Figure 3c).</w:t>
      </w:r>
    </w:p>
    <w:p>
      <w:pPr>
        <w:pageBreakBefore/>
      </w:pPr>
    </w:p>
    <w:p>
      <w:pPr>
        <w:keepNext/>
        <w:spacing w:after="100" w:before="0"/>
      </w:pPr>
      <w:r>
        <w:rPr>
          <w:rFonts w:ascii="Arial" w:cs="Arial" w:eastAsia="Arial" w:hAnsi="Arial"/>
          <w:b/>
          <w:bCs/>
          <w:i w:val="false"/>
          <w:iCs w:val="false"/>
          <w:sz w:val="19"/>
          <w:szCs w:val="19"/>
        </w:rPr>
        <w:t xml:space="preserve">Table S6. </w:t>
      </w:r>
      <w:r>
        <w:rPr>
          <w:rFonts w:ascii="Arial" w:cs="Arial" w:eastAsia="Arial" w:hAnsi="Arial"/>
          <w:b w:val="false"/>
          <w:bCs w:val="false"/>
          <w:i w:val="false"/>
          <w:iCs w:val="false"/>
          <w:sz w:val="19"/>
          <w:szCs w:val="19"/>
        </w:rPr>
        <w:t xml:space="preserve">Hyperparameter search: selected configurations and validation objective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990"/>
        <w:gridCol w:w="2534"/>
        <w:gridCol w:w="905"/>
        <w:gridCol w:w="5793"/>
        <w:gridCol w:w="3349"/>
        <w:gridCol w:w="1267"/>
      </w:tblGrid>
      <w:tr>
        <w:trPr>
          <w:tblHeader/>
        </w:trPr>
        <w:tc>
          <w:tcPr>
            <w:tcW w:type="dxa" w:w="990"/>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Search</w:t>
            </w:r>
          </w:p>
        </w:tc>
        <w:tc>
          <w:tcPr>
            <w:tcW w:type="dxa" w:w="2534"/>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Model</w:t>
            </w:r>
          </w:p>
        </w:tc>
        <w:tc>
          <w:tcPr>
            <w:tcW w:type="dxa" w:w="905"/>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Trials</w:t>
            </w:r>
          </w:p>
        </w:tc>
        <w:tc>
          <w:tcPr>
            <w:tcW w:type="dxa" w:w="5793"/>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Selected configuration</w:t>
            </w:r>
          </w:p>
        </w:tc>
        <w:tc>
          <w:tcPr>
            <w:tcW w:type="dxa" w:w="3349"/>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Objective: E3–E5 start → selected</w:t>
            </w:r>
          </w:p>
        </w:tc>
        <w:tc>
          <w:tcPr>
            <w:tcW w:type="dxa" w:w="1267"/>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Parameters</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E7b</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no attention</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course_dim=96, comp_dim=32, latent=128, dropout=0.4962, lr=0.0003028</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0.9193 → 0.9241</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299,469</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E7b</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(paper)</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course_dim=128, comp_dim=16, latent=256, dropout=0.4426, lr=0.0003254</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0.9188 → 0.9244</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1,101,742</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E7b</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emb=96, units=192, dropout=0.3792, lr=0.0005162</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0.9230 → 0.9231</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184,669</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E7b</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TA</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emb=128, units=192, dropout=0.4958, lr=0.0004927</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0.9163 → 0.9234</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279,166</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E7b</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d=128, blocks=2, heads=2, dropout=0.2226, lr=0.002525</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0.9245 → 0.9249</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216,381</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E7b</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d=96, blocks=3, heads=4, dropout=0.2542, lr=0.001436</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0.9221 → 0.9259</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200,318</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no attention</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course_dim=128, comp_dim=32, latent=192, dropout=0.2486, lr=0.0003052</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0.9321 → 0.9389</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632,045</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(paper)</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course_dim=128, comp_dim=32, latent=192, dropout=0.3334, lr=0.0003258</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0.9322 → 0.9386</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669,102</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emb=64, units=64, dropout=0.4683, lr=0.00297</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0.9351 → 0.9378</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32,829</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TA</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emb=128, units=128, dropout=0.2678, lr=0.0003917</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0.9322 → 0.9374</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147,774</w:t>
            </w:r>
          </w:p>
        </w:tc>
      </w:tr>
      <w:tr>
        <w:tc>
          <w:tcPr>
            <w:tcW w:type="dxa" w:w="990"/>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w:t>
            </w:r>
          </w:p>
        </w:tc>
        <w:tc>
          <w:tcPr>
            <w:tcW w:type="dxa" w:w="253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w:t>
            </w:r>
          </w:p>
        </w:tc>
        <w:tc>
          <w:tcPr>
            <w:tcW w:type="dxa" w:w="90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d=96, blocks=3, heads=4, dropout=0.1717, lr=0.0007724</w:t>
            </w:r>
          </w:p>
        </w:tc>
        <w:tc>
          <w:tcPr>
            <w:tcW w:type="dxa" w:w="3349"/>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0.9378 → 0.9384</w:t>
            </w:r>
          </w:p>
        </w:tc>
        <w:tc>
          <w:tcPr>
            <w:tcW w:type="dxa" w:w="126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181,693</w:t>
            </w:r>
          </w:p>
        </w:tc>
      </w:tr>
      <w:tr>
        <w:tc>
          <w:tcPr>
            <w:tcW w:type="dxa" w:w="990"/>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E7</w:t>
            </w:r>
          </w:p>
        </w:tc>
        <w:tc>
          <w:tcPr>
            <w:tcW w:type="dxa" w:w="253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w:t>
            </w:r>
          </w:p>
        </w:tc>
        <w:tc>
          <w:tcPr>
            <w:tcW w:type="dxa" w:w="905"/>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30</w:t>
            </w:r>
          </w:p>
        </w:tc>
        <w:tc>
          <w:tcPr>
            <w:tcW w:type="dxa" w:w="579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d=96, blocks=3, heads=4, dropout=0.3116, lr=0.001857</w:t>
            </w:r>
          </w:p>
        </w:tc>
        <w:tc>
          <w:tcPr>
            <w:tcW w:type="dxa" w:w="3349"/>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0.9382 → 0.9401</w:t>
            </w:r>
          </w:p>
        </w:tc>
        <w:tc>
          <w:tcPr>
            <w:tcW w:type="dxa" w:w="1267"/>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200,318</w:t>
            </w:r>
          </w:p>
        </w:tc>
      </w:tr>
    </w:tbl>
    <w:p>
      <w:pPr>
        <w:spacing w:after="0" w:before="90"/>
      </w:pPr>
      <w:r>
        <w:rPr>
          <w:rFonts w:ascii="Arial" w:cs="Arial" w:eastAsia="Arial" w:hAnsi="Arial"/>
          <w:b w:val="false"/>
          <w:bCs w:val="false"/>
          <w:i w:val="false"/>
          <w:iCs w:val="false"/>
          <w:sz w:val="15"/>
          <w:szCs w:val="15"/>
        </w:rPr>
        <w:t xml:space="preserve">Optuna with the TPE sampler (seed 0, multivariate), 30 trials per model, each trial scored as the mean over two training seeds (42, 101). Trial 0 is the configuration used in E3–E5, so the selected value can only match or exceed it on validation. Objective: E7b, mean of default and strict validation Hit@10 (strict validation set: 4,221 users whose training core has at least three courses, history without the last course); E7, validation Hit@10 of the default protocol. Search space (LSTM, with and without attention): course embedding {64, 96, 128}; competency embedding {16, 32}; latent units {128, 192, 256}; dropout 0.1–0.5; learning rate 3×10⁻⁴–3×10⁻³ (log). GRU4Rec (with and without TA): embedding {64, 96, 128}; units {64, 128, 192, 256}; dropout 0.1–0.5; learning rate 3×10⁻⁴–3×10⁻³ (log). SASRec (with and without TA): d {64, 96, 128}; blocks {1, 2, 3}; heads {2, 4}; dropout 0.1–0.5; learning rate 3×10⁻⁴–3×10⁻³ (log). All models: Adam, batch size 64, at most 50 epochs, early stopping on validation loss (patience 5), learning-rate halving on plateau. The Keras MHA variant was searched in E7 only.</w:t>
      </w:r>
    </w:p>
    <w:p>
      <w:pPr>
        <w:pageBreakBefore/>
      </w:pPr>
    </w:p>
    <w:p>
      <w:pPr>
        <w:keepNext/>
        <w:spacing w:after="100" w:before="0"/>
      </w:pPr>
      <w:r>
        <w:rPr>
          <w:rFonts w:ascii="Arial" w:cs="Arial" w:eastAsia="Arial" w:hAnsi="Arial"/>
          <w:b/>
          <w:bCs/>
          <w:i w:val="false"/>
          <w:iCs w:val="false"/>
          <w:sz w:val="19"/>
          <w:szCs w:val="19"/>
        </w:rPr>
        <w:t xml:space="preserve">Table S7. </w:t>
      </w:r>
      <w:r>
        <w:rPr>
          <w:rFonts w:ascii="Arial" w:cs="Arial" w:eastAsia="Arial" w:hAnsi="Arial"/>
          <w:b w:val="false"/>
          <w:bCs w:val="false"/>
          <w:i w:val="false"/>
          <w:iCs w:val="false"/>
          <w:sz w:val="19"/>
          <w:szCs w:val="19"/>
        </w:rPr>
        <w:t xml:space="preserve">Forward-in-time audit (training before 2025-10-01, evaluation after)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821"/>
        <w:gridCol w:w="5786"/>
        <w:gridCol w:w="813"/>
        <w:gridCol w:w="904"/>
        <w:gridCol w:w="1717"/>
        <w:gridCol w:w="904"/>
        <w:gridCol w:w="2893"/>
      </w:tblGrid>
      <w:tr>
        <w:trPr>
          <w:tblHeader/>
        </w:trPr>
        <w:tc>
          <w:tcPr>
            <w:tcW w:type="dxa" w:w="1821"/>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Variant</w:t>
            </w:r>
          </w:p>
        </w:tc>
        <w:tc>
          <w:tcPr>
            <w:tcW w:type="dxa" w:w="5786"/>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Definition</w:t>
            </w:r>
          </w:p>
        </w:tc>
        <w:tc>
          <w:tcPr>
            <w:tcW w:type="dxa" w:w="813"/>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Seeds</w:t>
            </w:r>
          </w:p>
        </w:tc>
        <w:tc>
          <w:tcPr>
            <w:tcW w:type="dxa" w:w="904"/>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w:t>
            </w:r>
          </w:p>
        </w:tc>
        <w:tc>
          <w:tcPr>
            <w:tcW w:type="dxa" w:w="1717"/>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Hit@10</w:t>
            </w:r>
          </w:p>
        </w:tc>
        <w:tc>
          <w:tcPr>
            <w:tcW w:type="dxa" w:w="904"/>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MRR@10</w:t>
            </w:r>
          </w:p>
        </w:tc>
        <w:tc>
          <w:tcPr>
            <w:tcW w:type="dxa" w:w="2893"/>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Paired Δ Hit@10 vs base (pp)</w:t>
            </w:r>
          </w:p>
        </w:tc>
      </w:tr>
      <w:tr>
        <w:tc>
          <w:tcPr>
            <w:tcW w:type="dxa" w:w="182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S0_base</w:t>
            </w:r>
          </w:p>
        </w:tc>
        <w:tc>
          <w:tcPr>
            <w:tcW w:type="dxa" w:w="578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course sequence only (125,437 parameters)</w:t>
            </w:r>
          </w:p>
        </w:tc>
        <w:tc>
          <w:tcPr>
            <w:tcW w:type="dxa" w:w="81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5</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0.1775</w:t>
            </w:r>
          </w:p>
        </w:tc>
        <w:tc>
          <w:tcPr>
            <w:tcW w:type="dxa" w:w="17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0.5142 ± 0.0045</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0.2774</w:t>
            </w:r>
          </w:p>
        </w:tc>
        <w:tc>
          <w:tcPr>
            <w:tcW w:type="dxa" w:w="28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w:t>
            </w:r>
          </w:p>
        </w:tc>
      </w:tr>
      <w:tr>
        <w:tc>
          <w:tcPr>
            <w:tcW w:type="dxa" w:w="182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T_gap</w:t>
            </w:r>
          </w:p>
        </w:tc>
        <w:tc>
          <w:tcPr>
            <w:tcW w:type="dxa" w:w="578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 time since the previous course as an input sequence</w:t>
            </w:r>
          </w:p>
        </w:tc>
        <w:tc>
          <w:tcPr>
            <w:tcW w:type="dxa" w:w="81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3</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0.1907</w:t>
            </w:r>
          </w:p>
        </w:tc>
        <w:tc>
          <w:tcPr>
            <w:tcW w:type="dxa" w:w="17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0.5171 ± 0.0019</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0.2871</w:t>
            </w:r>
          </w:p>
        </w:tc>
        <w:tc>
          <w:tcPr>
            <w:tcW w:type="dxa" w:w="28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+0.51 ± 0.23</w:t>
            </w:r>
          </w:p>
        </w:tc>
      </w:tr>
      <w:tr>
        <w:tc>
          <w:tcPr>
            <w:tcW w:type="dxa" w:w="182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C_calendar</w:t>
            </w:r>
          </w:p>
        </w:tc>
        <w:tc>
          <w:tcPr>
            <w:tcW w:type="dxa" w:w="578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 calendar month of the last course</w:t>
            </w:r>
          </w:p>
        </w:tc>
        <w:tc>
          <w:tcPr>
            <w:tcW w:type="dxa" w:w="81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5</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0.1770</w:t>
            </w:r>
          </w:p>
        </w:tc>
        <w:tc>
          <w:tcPr>
            <w:tcW w:type="dxa" w:w="17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0.5192 ± 0.0088</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0.2798</w:t>
            </w:r>
          </w:p>
        </w:tc>
        <w:tc>
          <w:tcPr>
            <w:tcW w:type="dxa" w:w="28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+0.50 ± 1.09</w:t>
            </w:r>
          </w:p>
        </w:tc>
      </w:tr>
      <w:tr>
        <w:tc>
          <w:tcPr>
            <w:tcW w:type="dxa" w:w="182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P_candprior</w:t>
            </w:r>
          </w:p>
        </w:tc>
        <w:tc>
          <w:tcPr>
            <w:tcW w:type="dxa" w:w="578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 additive logit prior from past enrolment counts (trending in 7 and 30 days, launched and age flags)</w:t>
            </w:r>
          </w:p>
        </w:tc>
        <w:tc>
          <w:tcPr>
            <w:tcW w:type="dxa" w:w="81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5</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0.1877</w:t>
            </w:r>
          </w:p>
        </w:tc>
        <w:tc>
          <w:tcPr>
            <w:tcW w:type="dxa" w:w="17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0.5295 ± 0.0049</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0.2895</w:t>
            </w:r>
          </w:p>
        </w:tc>
        <w:tc>
          <w:tcPr>
            <w:tcW w:type="dxa" w:w="28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+1.52 ± 0.46</w:t>
            </w:r>
          </w:p>
        </w:tc>
      </w:tr>
      <w:tr>
        <w:tc>
          <w:tcPr>
            <w:tcW w:type="dxa" w:w="182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TCP</w:t>
            </w:r>
          </w:p>
        </w:tc>
        <w:tc>
          <w:tcPr>
            <w:tcW w:type="dxa" w:w="578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time gaps + calendar month + candidate prior</w:t>
            </w:r>
          </w:p>
        </w:tc>
        <w:tc>
          <w:tcPr>
            <w:tcW w:type="dxa" w:w="81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5</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0.1903</w:t>
            </w:r>
          </w:p>
        </w:tc>
        <w:tc>
          <w:tcPr>
            <w:tcW w:type="dxa" w:w="17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0.5346 ± 0.0080</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0.2943</w:t>
            </w:r>
          </w:p>
        </w:tc>
        <w:tc>
          <w:tcPr>
            <w:tcW w:type="dxa" w:w="28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+2.04 ± 0.71</w:t>
            </w:r>
          </w:p>
        </w:tc>
      </w:tr>
      <w:tr>
        <w:tc>
          <w:tcPr>
            <w:tcW w:type="dxa" w:w="182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Q_trend</w:t>
            </w:r>
          </w:p>
        </w:tc>
        <w:tc>
          <w:tcPr>
            <w:tcW w:type="dxa" w:w="578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candidate prior with the two trending counts only</w:t>
            </w:r>
          </w:p>
        </w:tc>
        <w:tc>
          <w:tcPr>
            <w:tcW w:type="dxa" w:w="81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5</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0.1886</w:t>
            </w:r>
          </w:p>
        </w:tc>
        <w:tc>
          <w:tcPr>
            <w:tcW w:type="dxa" w:w="1717"/>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0.5293 ± 0.0066</w:t>
            </w:r>
          </w:p>
        </w:tc>
        <w:tc>
          <w:tcPr>
            <w:tcW w:type="dxa" w:w="904"/>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0.2901</w:t>
            </w:r>
          </w:p>
        </w:tc>
        <w:tc>
          <w:tcPr>
            <w:tcW w:type="dxa" w:w="2893"/>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+1.50 ± 0.61</w:t>
            </w:r>
          </w:p>
        </w:tc>
      </w:tr>
      <w:tr>
        <w:tc>
          <w:tcPr>
            <w:tcW w:type="dxa" w:w="182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Q4_trend_trans</w:t>
            </w:r>
          </w:p>
        </w:tc>
        <w:tc>
          <w:tcPr>
            <w:tcW w:type="dxa" w:w="5786"/>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trending counts + recent a→b transition counts</w:t>
            </w:r>
          </w:p>
        </w:tc>
        <w:tc>
          <w:tcPr>
            <w:tcW w:type="dxa" w:w="81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5</w:t>
            </w:r>
          </w:p>
        </w:tc>
        <w:tc>
          <w:tcPr>
            <w:tcW w:type="dxa" w:w="90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0.1923</w:t>
            </w:r>
          </w:p>
        </w:tc>
        <w:tc>
          <w:tcPr>
            <w:tcW w:type="dxa" w:w="1717"/>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0.5321 ± 0.0049</w:t>
            </w:r>
          </w:p>
        </w:tc>
        <w:tc>
          <w:tcPr>
            <w:tcW w:type="dxa" w:w="904"/>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0.2940</w:t>
            </w:r>
          </w:p>
        </w:tc>
        <w:tc>
          <w:tcPr>
            <w:tcW w:type="dxa" w:w="2893"/>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+1.79 ± 0.64</w:t>
            </w:r>
          </w:p>
        </w:tc>
      </w:tr>
    </w:tbl>
    <w:p>
      <w:pPr>
        <w:spacing w:after="0" w:before="90"/>
      </w:pPr>
      <w:r>
        <w:rPr>
          <w:rFonts w:ascii="Arial" w:cs="Arial" w:eastAsia="Arial" w:hAnsi="Arial"/>
          <w:b w:val="false"/>
          <w:bCs w:val="false"/>
          <w:i w:val="false"/>
          <w:iCs w:val="false"/>
          <w:sz w:val="15"/>
          <w:szCs w:val="15"/>
        </w:rPr>
        <w:t xml:space="preserve">Trained on 13,870 sequence prefixes with target date before 2025-10-01; evaluated on 2,101 validation users with target date on or after 2025-10-01. Validation, not test, users; seeds 7, 13, 42, 101, 202 (T_gap: three). The target date is never an input. Differences are paired by seed; ± is the SD of the paired differences. Stability of these variants under the strict protocol was not part of this audit.</w:t>
      </w:r>
    </w:p>
    <w:p>
      <w:pPr>
        <w:pageBreakBefore/>
      </w:pPr>
    </w:p>
    <w:p>
      <w:pPr>
        <w:keepNext/>
        <w:spacing w:after="100" w:before="0"/>
      </w:pPr>
      <w:r>
        <w:rPr>
          <w:rFonts w:ascii="Arial" w:cs="Arial" w:eastAsia="Arial" w:hAnsi="Arial"/>
          <w:b/>
          <w:bCs/>
          <w:i w:val="false"/>
          <w:iCs w:val="false"/>
          <w:sz w:val="19"/>
          <w:szCs w:val="19"/>
        </w:rPr>
        <w:t xml:space="preserve">Table S8. </w:t>
      </w:r>
      <w:r>
        <w:rPr>
          <w:rFonts w:ascii="Arial" w:cs="Arial" w:eastAsia="Arial" w:hAnsi="Arial"/>
          <w:b w:val="false"/>
          <w:bCs w:val="false"/>
          <w:i w:val="false"/>
          <w:iCs w:val="false"/>
          <w:sz w:val="19"/>
          <w:szCs w:val="19"/>
        </w:rPr>
        <w:t xml:space="preserve">Paired differences in Hit@10 for the earlier models with a small tuning grid (E3–E5)</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655"/>
        <w:gridCol w:w="2182"/>
        <w:gridCol w:w="1091"/>
        <w:gridCol w:w="2182"/>
        <w:gridCol w:w="1091"/>
        <w:gridCol w:w="2546"/>
        <w:gridCol w:w="1091"/>
      </w:tblGrid>
      <w:tr>
        <w:trPr>
          <w:tblHeader/>
        </w:trPr>
        <w:tc>
          <w:tcPr>
            <w:tcW w:type="dxa" w:w="4655"/>
            <w:vMerge w:val="restart"/>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left"/>
            </w:pPr>
            <w:r>
              <w:rPr>
                <w:rFonts w:ascii="Arial" w:cs="Arial" w:eastAsia="Arial" w:hAnsi="Arial"/>
                <w:b/>
                <w:bCs/>
                <w:i w:val="false"/>
                <w:iCs w:val="false"/>
                <w:sz w:val="16"/>
                <w:szCs w:val="16"/>
              </w:rPr>
              <w:t xml:space="preserve">Comparison (first minus second)</w:t>
            </w:r>
          </w:p>
        </w:tc>
        <w:tc>
          <w:tcPr>
            <w:tcW w:type="dxa" w:w="3273"/>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Default, all users</w:t>
            </w:r>
          </w:p>
        </w:tc>
        <w:tc>
          <w:tcPr>
            <w:tcW w:type="dxa" w:w="3273"/>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all users</w:t>
            </w:r>
          </w:p>
        </w:tc>
        <w:tc>
          <w:tcPr>
            <w:tcW w:type="dxa" w:w="3637"/>
            <w:gridSpan w:val="2"/>
            <w:tcBorders>
              <w:top w:val="single" w:color="000000" w:sz="1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Strict, non-cohort users</w:t>
            </w:r>
          </w:p>
        </w:tc>
      </w:tr>
      <w:tr>
        <w:trPr>
          <w:tblHeader/>
        </w:trPr>
        <w:tc>
          <w:tcPr>
            <w:vMerge w:val="continue"/>
            <w:tcBorders>
              <w:top w:val="single" w:color="000000" w:sz="10"/>
              <w:left w:val="none" w:color="FFFFFF" w:sz="0"/>
              <w:bottom w:val="single" w:color="000000" w:sz="4"/>
              <w:right w:val="none" w:color="FFFFFF" w:sz="0"/>
            </w:tcBorders>
          </w:tcPr>
          <w:p/>
        </w:tc>
        <w:tc>
          <w:tcPr>
            <w:tcW w:type="dxa" w:w="2182"/>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Δ [95% CI]</w:t>
            </w:r>
          </w:p>
        </w:tc>
        <w:tc>
          <w:tcPr>
            <w:tcW w:type="dxa" w:w="109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p (Holm)</w:t>
            </w:r>
          </w:p>
        </w:tc>
        <w:tc>
          <w:tcPr>
            <w:tcW w:type="dxa" w:w="2182"/>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Δ [95% CI]</w:t>
            </w:r>
          </w:p>
        </w:tc>
        <w:tc>
          <w:tcPr>
            <w:tcW w:type="dxa" w:w="109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p (Holm)</w:t>
            </w:r>
          </w:p>
        </w:tc>
        <w:tc>
          <w:tcPr>
            <w:tcW w:type="dxa" w:w="2546"/>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Δ [95% CI]</w:t>
            </w:r>
          </w:p>
        </w:tc>
        <w:tc>
          <w:tcPr>
            <w:tcW w:type="dxa" w:w="1091"/>
            <w:tcBorders>
              <w:top w:val="none" w:color="FFFFFF" w:sz="0"/>
              <w:left w:val="none" w:color="FFFFFF" w:sz="0"/>
              <w:bottom w:val="single" w:color="000000" w:sz="4"/>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p (Holm)</w:t>
            </w:r>
          </w:p>
        </w:tc>
      </w:tr>
      <w:tr>
        <w:tc>
          <w:tcPr>
            <w:tcW w:type="dxa" w:w="465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LSTM + attention (paper)</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+0.47 [+0.13, +0.82]</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0.056</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+0.88 [+0.48, +1.29]</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w:t>
            </w:r>
          </w:p>
        </w:tc>
        <w:tc>
          <w:tcPr>
            <w:tcW w:type="dxa" w:w="254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+1.19 [+0.65, +1.75]</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w:t>
            </w:r>
          </w:p>
        </w:tc>
      </w:tr>
      <w:tr>
        <w:tc>
          <w:tcPr>
            <w:tcW w:type="dxa" w:w="465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LSTM + attention (paper)</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 [−0.20, +0.34]</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−0.10 [−0.39, +0.20]</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54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−0.15 [−0.55, +0.25]</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r>
      <w:tr>
        <w:tc>
          <w:tcPr>
            <w:tcW w:type="dxa" w:w="465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GRU4Rec</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+0.40 [+0.05, +0.75]</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0.203</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+0.98 [+0.59, +1.39]</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w:t>
            </w:r>
          </w:p>
        </w:tc>
        <w:tc>
          <w:tcPr>
            <w:tcW w:type="dxa" w:w="254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+1.34 [+0.81, +1.89]</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w:t>
            </w:r>
          </w:p>
        </w:tc>
      </w:tr>
      <w:tr>
        <w:tc>
          <w:tcPr>
            <w:tcW w:type="dxa" w:w="465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 LSTM without attention</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−0.04 [−0.25, +0.17]</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+0.12 [−0.09, +0.33]</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0.820</w:t>
            </w:r>
          </w:p>
        </w:tc>
        <w:tc>
          <w:tcPr>
            <w:tcW w:type="dxa" w:w="254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 [−0.12, +0.47]</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r>
      <w:tr>
        <w:tc>
          <w:tcPr>
            <w:tcW w:type="dxa" w:w="465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LSTM + attention − LSTM + Keras MHA</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−0.20 [−0.41, −0.00]</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0.337</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+0.17 [−0.07, +0.41]</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0.700</w:t>
            </w:r>
          </w:p>
        </w:tc>
        <w:tc>
          <w:tcPr>
            <w:tcW w:type="dxa" w:w="254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+0.23 [−0.10, +0.55]</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0.867</w:t>
            </w:r>
          </w:p>
        </w:tc>
      </w:tr>
      <w:tr>
        <w:tc>
          <w:tcPr>
            <w:tcW w:type="dxa" w:w="465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TA − GRU4Rec</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−0.50 [−0.77, −0.22]</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−0.69 [−1.00, −0.37]</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w:t>
            </w:r>
          </w:p>
        </w:tc>
        <w:tc>
          <w:tcPr>
            <w:tcW w:type="dxa" w:w="254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−0.92 [−1.35, −0.49]</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w:t>
            </w:r>
          </w:p>
        </w:tc>
      </w:tr>
      <w:tr>
        <w:tc>
          <w:tcPr>
            <w:tcW w:type="dxa" w:w="465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TA − SASRec</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−0.04 [−0.24, +0.17]</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−0.31 [−0.54, −0.08]</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0.043</w:t>
            </w:r>
          </w:p>
        </w:tc>
        <w:tc>
          <w:tcPr>
            <w:tcW w:type="dxa" w:w="254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−0.42 [−0.75, −0.10]</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0.073</w:t>
            </w:r>
          </w:p>
        </w:tc>
      </w:tr>
      <w:tr>
        <w:tc>
          <w:tcPr>
            <w:tcW w:type="dxa" w:w="4655"/>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SASRec + features − SASRec</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 [−0.18, +0.08]</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182"/>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bCs/>
                <w:i w:val="false"/>
                <w:iCs w:val="false"/>
                <w:sz w:val="16"/>
                <w:szCs w:val="16"/>
              </w:rPr>
              <w:t xml:space="preserve">−2.74 [−2.95, −2.54]</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0.001</w:t>
            </w:r>
          </w:p>
        </w:tc>
        <w:tc>
          <w:tcPr>
            <w:tcW w:type="dxa" w:w="2546"/>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−0.03 [−0.25, +0.19]</w:t>
            </w:r>
          </w:p>
        </w:tc>
        <w:tc>
          <w:tcPr>
            <w:tcW w:type="dxa" w:w="1091"/>
            <w:tcBorders>
              <w:top w:val="none" w:color="FFFFFF" w:sz="0"/>
              <w:left w:val="none" w:color="FFFFFF" w:sz="0"/>
              <w:bottom w:val="none" w:color="FFFFFF" w:sz="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r>
      <w:tr>
        <w:tc>
          <w:tcPr>
            <w:tcW w:type="dxa" w:w="4655"/>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left"/>
            </w:pPr>
            <w:r>
              <w:rPr>
                <w:rFonts w:ascii="Arial" w:cs="Arial" w:eastAsia="Arial" w:hAnsi="Arial"/>
                <w:b w:val="false"/>
                <w:bCs w:val="false"/>
                <w:i w:val="false"/>
                <w:iCs w:val="false"/>
                <w:sz w:val="16"/>
                <w:szCs w:val="16"/>
              </w:rPr>
              <w:t xml:space="preserve">GRU4Rec + features − GRU4Rec</w:t>
            </w:r>
          </w:p>
        </w:tc>
        <w:tc>
          <w:tcPr>
            <w:tcW w:type="dxa" w:w="2182"/>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 [−0.15, +0.25]</w:t>
            </w:r>
          </w:p>
        </w:tc>
        <w:tc>
          <w:tcPr>
            <w:tcW w:type="dxa" w:w="109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182"/>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+0.05 [−0.15, +0.26]</w:t>
            </w:r>
          </w:p>
        </w:tc>
        <w:tc>
          <w:tcPr>
            <w:tcW w:type="dxa" w:w="109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c>
          <w:tcPr>
            <w:tcW w:type="dxa" w:w="2546"/>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+0.07 [−0.21, +0.36]</w:t>
            </w:r>
          </w:p>
        </w:tc>
        <w:tc>
          <w:tcPr>
            <w:tcW w:type="dxa" w:w="1091"/>
            <w:tcBorders>
              <w:top w:val="none" w:color="FFFFFF" w:sz="0"/>
              <w:left w:val="none" w:color="FFFFFF" w:sz="0"/>
              <w:bottom w:val="single" w:color="000000" w:sz="10"/>
              <w:right w:val="none" w:color="FFFFFF" w:sz="0"/>
            </w:tcBorders>
            <w:tcMar>
              <w:top w:type="dxa" w:w="35"/>
              <w:left w:type="dxa" w:w="70"/>
              <w:bottom w:type="dxa" w:w="35"/>
              <w:right w:type="dxa" w:w="70"/>
            </w:tcMar>
            <w:vAlign w:val="center"/>
          </w:tcPr>
          <w:p>
            <w:pPr>
              <w:jc w:val="center"/>
            </w:pPr>
            <w:r>
              <w:rPr>
                <w:rFonts w:ascii="Arial" w:cs="Arial" w:eastAsia="Arial" w:hAnsi="Arial"/>
                <w:b w:val="false"/>
                <w:bCs w:val="false"/>
                <w:i w:val="false"/>
                <w:iCs w:val="false"/>
                <w:sz w:val="16"/>
                <w:szCs w:val="16"/>
              </w:rPr>
              <w:t xml:space="preserve">1.000</w:t>
            </w:r>
          </w:p>
        </w:tc>
      </w:tr>
    </w:tbl>
    <w:p>
      <w:pPr>
        <w:spacing w:after="0" w:before="90"/>
      </w:pPr>
      <w:r>
        <w:rPr>
          <w:rFonts w:ascii="Arial" w:cs="Arial" w:eastAsia="Arial" w:hAnsi="Arial"/>
          <w:b w:val="false"/>
          <w:bCs w:val="false"/>
          <w:i w:val="false"/>
          <w:iCs w:val="false"/>
          <w:sz w:val="15"/>
          <w:szCs w:val="15"/>
        </w:rPr>
        <w:t xml:space="preserve">Same method as Table 2 (13 comparisons per Holm family, including reference baselines not shown). In these models the paper's LSTM had not been tuned while GRU4Rec and SASRec had; Table 2 repeats the comparison after equal tuning and the sign of several differences changes (Figure S3). Bold: Holm-adjusted p &lt; 0.05.</w:t>
      </w:r>
    </w:p>
    <w:sectPr>
      <w:pgSz w:w="16838" w:h="11906"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dc:title>
  <dc:creator>JCMM revision experiments</dc:creator>
  <cp:lastModifiedBy>Un-named</cp:lastModifiedBy>
  <cp:revision>1</cp:revision>
  <dcterms:created xsi:type="dcterms:W3CDTF">2026-10-05T06:12:43.309Z</dcterms:created>
  <dcterms:modified xsi:type="dcterms:W3CDTF">2026-10-05T06:12:43.310Z</dcterms:modified>
</cp:coreProperties>
</file>

<file path=docProps/custom.xml><?xml version="1.0" encoding="utf-8"?>
<Properties xmlns="http://schemas.openxmlformats.org/officeDocument/2006/custom-properties" xmlns:vt="http://schemas.openxmlformats.org/officeDocument/2006/docPropsVTypes"/>
</file>