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left"/>
      </w:pPr>
      <w:r>
        <w:rPr>
          <w:rFonts w:ascii="Calibri" w:hAnsi="Calibri"/>
          <w:b/>
          <w:color w:val="0B2545"/>
          <w:sz w:val="48"/>
        </w:rPr>
        <w:t>Panduan Interpretasi Dashboard</w:t>
      </w:r>
    </w:p>
    <w:p>
      <w:pPr>
        <w:spacing w:after="320"/>
      </w:pPr>
      <w:r>
        <w:rPr>
          <w:rFonts w:ascii="Calibri" w:hAnsi="Calibri"/>
          <w:color w:val="5F6B76"/>
          <w:sz w:val="24"/>
        </w:rPr>
        <w:t>Course Recommendation for Employees (CRE) - Machine Learning Research Console</w:t>
      </w:r>
    </w:p>
    <w:tbl>
      <w:tblPr>
        <w:tblW w:type="auto" w:w="0"/>
        <w:jc w:val="left"/>
        <w:tblLayout w:type="fixed"/>
        <w:tblLook w:firstColumn="1" w:firstRow="1" w:lastColumn="0" w:lastRow="0" w:noHBand="0" w:noVBand="1" w:val="04A0"/>
      </w:tblPr>
      <w:tblGrid>
        <w:gridCol w:w="2160" w:type="dxa"/>
        <w:gridCol w:w="7200" w:type="dxa"/>
      </w:tblGrid>
      <w:tr>
        <w:tc>
          <w:tcPr>
            <w:tcW w:type="dxa" w:w="2160"/>
            <w:vAlign w:val="center"/>
            <w:tcMar>
              <w:top w:w="80" w:type="dxa"/>
              <w:start w:w="120" w:type="dxa"/>
              <w:bottom w:w="80" w:type="dxa"/>
              <w:end w:w="120" w:type="dxa"/>
            </w:tcMar>
            <w:shd w:fill="F2F4F7"/>
          </w:tcPr>
          <w:p>
            <w:pPr>
              <w:spacing w:after="0"/>
            </w:pPr>
            <w:r>
              <w:rPr>
                <w:rFonts w:ascii="Calibri" w:hAnsi="Calibri"/>
                <w:b/>
                <w:color w:val="0B2545"/>
                <w:sz w:val="20"/>
              </w:rPr>
              <w:t>Tujuan</w:t>
            </w:r>
          </w:p>
        </w:tc>
        <w:tc>
          <w:tcPr>
            <w:tcW w:type="dxa" w:w="7200"/>
            <w:vAlign w:val="center"/>
            <w:tcMar>
              <w:top w:w="80" w:type="dxa"/>
              <w:start w:w="120" w:type="dxa"/>
              <w:bottom w:w="80" w:type="dxa"/>
              <w:end w:w="120" w:type="dxa"/>
            </w:tcMar>
          </w:tcPr>
          <w:p>
            <w:pPr>
              <w:spacing w:after="0"/>
            </w:pPr>
            <w:r>
              <w:rPr>
                <w:rFonts w:ascii="Calibri" w:hAnsi="Calibri"/>
                <w:color w:val="222222"/>
                <w:sz w:val="20"/>
              </w:rPr>
              <w:t>Menjelaskan fungsi halaman dashboard dan cara membaca hasil penelitian.</w:t>
            </w:r>
          </w:p>
        </w:tc>
      </w:tr>
      <w:tr>
        <w:tc>
          <w:tcPr>
            <w:tcW w:type="dxa" w:w="2160"/>
            <w:vAlign w:val="center"/>
            <w:tcMar>
              <w:top w:w="80" w:type="dxa"/>
              <w:start w:w="120" w:type="dxa"/>
              <w:bottom w:w="80" w:type="dxa"/>
              <w:end w:w="120" w:type="dxa"/>
            </w:tcMar>
            <w:shd w:fill="F2F4F7"/>
          </w:tcPr>
          <w:p>
            <w:pPr>
              <w:spacing w:after="0"/>
            </w:pPr>
            <w:r>
              <w:rPr>
                <w:rFonts w:ascii="Calibri" w:hAnsi="Calibri"/>
                <w:b/>
                <w:color w:val="0B2545"/>
                <w:sz w:val="20"/>
              </w:rPr>
              <w:t>Fokus</w:t>
            </w:r>
          </w:p>
        </w:tc>
        <w:tc>
          <w:tcPr>
            <w:tcW w:type="dxa" w:w="7200"/>
            <w:vAlign w:val="center"/>
            <w:tcMar>
              <w:top w:w="80" w:type="dxa"/>
              <w:start w:w="120" w:type="dxa"/>
              <w:bottom w:w="80" w:type="dxa"/>
              <w:end w:w="120" w:type="dxa"/>
            </w:tcMar>
          </w:tcPr>
          <w:p>
            <w:pPr>
              <w:spacing w:after="0"/>
            </w:pPr>
            <w:r>
              <w:rPr>
                <w:rFonts w:ascii="Calibri" w:hAnsi="Calibri"/>
                <w:color w:val="222222"/>
                <w:sz w:val="20"/>
              </w:rPr>
              <w:t>Audit data, dokumentasi model, evaluasi ranking, inferensi, export, dan operasi layanan.</w:t>
            </w:r>
          </w:p>
        </w:tc>
      </w:tr>
      <w:tr>
        <w:tc>
          <w:tcPr>
            <w:tcW w:type="dxa" w:w="2160"/>
            <w:vAlign w:val="center"/>
            <w:tcMar>
              <w:top w:w="80" w:type="dxa"/>
              <w:start w:w="120" w:type="dxa"/>
              <w:bottom w:w="80" w:type="dxa"/>
              <w:end w:w="120" w:type="dxa"/>
            </w:tcMar>
            <w:shd w:fill="F2F4F7"/>
          </w:tcPr>
          <w:p>
            <w:pPr>
              <w:spacing w:after="0"/>
            </w:pPr>
            <w:r>
              <w:rPr>
                <w:rFonts w:ascii="Calibri" w:hAnsi="Calibri"/>
                <w:b/>
                <w:color w:val="0B2545"/>
                <w:sz w:val="20"/>
              </w:rPr>
              <w:t>Catatan</w:t>
            </w:r>
          </w:p>
        </w:tc>
        <w:tc>
          <w:tcPr>
            <w:tcW w:type="dxa" w:w="7200"/>
            <w:vAlign w:val="center"/>
            <w:tcMar>
              <w:top w:w="80" w:type="dxa"/>
              <w:start w:w="120" w:type="dxa"/>
              <w:bottom w:w="80" w:type="dxa"/>
              <w:end w:w="120" w:type="dxa"/>
            </w:tcMar>
          </w:tcPr>
          <w:p>
            <w:pPr>
              <w:spacing w:after="0"/>
            </w:pPr>
            <w:r>
              <w:rPr>
                <w:rFonts w:ascii="Calibri" w:hAnsi="Calibri"/>
                <w:color w:val="222222"/>
                <w:sz w:val="20"/>
              </w:rPr>
              <w:t>Dashboard ini merupakan alat pendukung penelitian machine learning, bukan tampilan LMS untuk pegawai.</w:t>
            </w:r>
          </w:p>
        </w:tc>
      </w:tr>
    </w:tbl>
    <w:p>
      <w:pPr>
        <w:spacing w:before="320" w:after="140"/>
      </w:pPr>
      <w:r>
        <w:rPr>
          <w:rFonts w:ascii="Calibri" w:hAnsi="Calibri"/>
          <w:b/>
          <w:color w:val="2E74B5"/>
          <w:sz w:val="32"/>
        </w:rPr>
        <w:t>1. Gambaran Umum Dashboard</w:t>
      </w:r>
    </w:p>
    <w:p>
      <w:pPr>
        <w:spacing w:after="120" w:line="264" w:lineRule="auto"/>
      </w:pPr>
      <w:r>
        <w:rPr>
          <w:rFonts w:ascii="Calibri" w:hAnsi="Calibri"/>
          <w:color w:val="222222"/>
          <w:sz w:val="22"/>
        </w:rPr>
        <w:t>Dashboard CRE ML dirancang untuk memperlihatkan seluruh alur penelitian secara transparan: kualitas data, konfigurasi model, hasil evaluasi, rekomendasi per user, export batch, hingga pembaruan hasil inferensi. Dengan demikian, dashboard membantu membuktikan bahwa model tidak hanya dibangun, tetapi juga dapat diperiksa, dievaluasi, dan digunakan ulang secara terstruktur.</w:t>
      </w:r>
    </w:p>
    <w:tbl>
      <w:tblPr>
        <w:tblW w:type="auto" w:w="0"/>
        <w:jc w:val="left"/>
        <w:tblLayout w:type="fixed"/>
        <w:tblLook w:firstColumn="1" w:firstRow="1" w:lastColumn="0" w:lastRow="0" w:noHBand="0" w:noVBand="1" w:val="04A0"/>
      </w:tblPr>
      <w:tblGrid>
        <w:gridCol w:w="9360" w:type="dxa"/>
      </w:tblGrid>
      <w:tr>
        <w:tc>
          <w:tcPr>
            <w:tcW w:type="dxa" w:w="9360"/>
            <w:vAlign w:val="center"/>
            <w:tcMar>
              <w:top w:w="80" w:type="dxa"/>
              <w:start w:w="120" w:type="dxa"/>
              <w:bottom w:w="80" w:type="dxa"/>
              <w:end w:w="120" w:type="dxa"/>
            </w:tcMar>
            <w:shd w:fill="E8EEF5"/>
          </w:tcPr>
          <w:p>
            <w:pPr>
              <w:spacing w:after="40"/>
            </w:pPr>
            <w:r>
              <w:rPr>
                <w:rFonts w:ascii="Calibri" w:hAnsi="Calibri"/>
                <w:b/>
                <w:color w:val="1F4D78"/>
                <w:sz w:val="20"/>
              </w:rPr>
              <w:t>Cara membaca mode data</w:t>
            </w:r>
          </w:p>
          <w:p>
            <w:pPr>
              <w:spacing w:after="0" w:line="259" w:lineRule="auto"/>
            </w:pPr>
            <w:r>
              <w:rPr>
                <w:rFonts w:ascii="Calibri" w:hAnsi="Calibri"/>
                <w:color w:val="222222"/>
                <w:sz w:val="21"/>
              </w:rPr>
              <w:t>Mode Test menggunakan fixture export untuk menguji tampilan dan kontrak API. Mode Normal menggunakan export rekomendasi aktual dari artefak model. Metrik evaluasi tetap berasal dari artefak eksperimen yang sama.</w:t>
            </w:r>
          </w:p>
        </w:tc>
      </w:tr>
    </w:tbl>
    <w:p>
      <w:pPr>
        <w:spacing w:after="0"/>
      </w:pPr>
    </w:p>
    <w:p>
      <w:pPr>
        <w:spacing w:before="320" w:after="140"/>
      </w:pPr>
      <w:r>
        <w:rPr>
          <w:rFonts w:ascii="Calibri" w:hAnsi="Calibri"/>
          <w:b/>
          <w:color w:val="2E74B5"/>
          <w:sz w:val="32"/>
        </w:rPr>
        <w:t>2. Overview</w:t>
      </w:r>
    </w:p>
    <w:p>
      <w:pPr>
        <w:spacing w:after="120" w:line="264" w:lineRule="auto"/>
      </w:pPr>
      <w:r>
        <w:rPr>
          <w:rFonts w:ascii="Calibri" w:hAnsi="Calibri"/>
          <w:color w:val="222222"/>
          <w:sz w:val="22"/>
        </w:rPr>
        <w:t>Halaman Overview merupakan ringkasan kondisi layanan. Kartu API Status menunjukkan apakah backend aktif; Model Version menunjukkan artefak model yang sedang digunakan; Recommendations menunjukkan jumlah hasil export; sedangkan Artifact Check menunjukkan konsistensi antara model, encoder, katalog course, dan tabel pendukung. Total Dataset Users berjumlah 9,598, Evaluation Samples berjumlah 4,501, sedangkan Active Export Users saat ini hanya 20; ketiga angka ini memiliki arti berbeda dan tidak boleh disamakan.</w:t>
      </w:r>
    </w:p>
    <w:p>
      <w:pPr>
        <w:spacing w:after="120" w:line="264" w:lineRule="auto"/>
      </w:pPr>
      <w:r>
        <w:rPr>
          <w:rFonts w:ascii="Calibri" w:hAnsi="Calibri"/>
          <w:color w:val="222222"/>
          <w:sz w:val="22"/>
        </w:rPr>
        <w:t>Bagian metrik menampilkan ringkasan hasil evaluasi utama. Hit@K dan Recall@K menunjukkan kemampuan menemukan course target dalam Top-K; MRR@K dan NDCG@K menunjukkan kualitas posisi ranking; Coverage menunjukkan luasnya course katalog yang berhasil dijangkau oleh rekomendasi.</w:t>
      </w:r>
    </w:p>
    <w:p>
      <w:pPr>
        <w:spacing w:before="320" w:after="140"/>
      </w:pPr>
      <w:r>
        <w:rPr>
          <w:rFonts w:ascii="Calibri" w:hAnsi="Calibri"/>
          <w:b/>
          <w:color w:val="2E74B5"/>
          <w:sz w:val="32"/>
        </w:rPr>
        <w:t>3. Data Quality</w:t>
      </w:r>
    </w:p>
    <w:p>
      <w:pPr>
        <w:spacing w:after="120" w:line="264" w:lineRule="auto"/>
      </w:pPr>
      <w:r>
        <w:rPr>
          <w:rFonts w:ascii="Calibri" w:hAnsi="Calibri"/>
          <w:color w:val="222222"/>
          <w:sz w:val="22"/>
        </w:rPr>
        <w:t>Data Quality mendokumentasikan tahap preprocessing agar penggunaan data dapat dipertanggungjawabkan. Temporal Split Audit memperlihatkan data Train Core, Validation Target, Pretest History, dan Test Target. Pembagian berdasarkan waktu memastikan model mempelajari interaksi masa lalu untuk memprediksi course berikutnya, sehingga mengurangi risiko data leakage.</w:t>
      </w:r>
    </w:p>
    <w:p>
      <w:pPr>
        <w:pStyle w:val="ListBullet"/>
        <w:spacing w:after="80" w:line="264" w:lineRule="auto"/>
      </w:pPr>
      <w:r>
        <w:rPr>
          <w:rFonts w:ascii="Calibri" w:hAnsi="Calibri"/>
          <w:b/>
          <w:color w:val="0B2545"/>
          <w:sz w:val="22"/>
        </w:rPr>
        <w:t xml:space="preserve">Noise Cleaning. </w:t>
      </w:r>
      <w:r>
        <w:rPr>
          <w:rFonts w:ascii="Calibri" w:hAnsi="Calibri"/>
          <w:color w:val="222222"/>
          <w:sz w:val="22"/>
        </w:rPr>
        <w:t>menunjukkan course dummy, sandbox, test, atau noise yang dihapus sebelum pembentukan sequence.</w:t>
      </w:r>
    </w:p>
    <w:p>
      <w:pPr>
        <w:pStyle w:val="ListBullet"/>
        <w:spacing w:after="80" w:line="264" w:lineRule="auto"/>
      </w:pPr>
      <w:r>
        <w:rPr>
          <w:rFonts w:ascii="Calibri" w:hAnsi="Calibri"/>
          <w:b/>
          <w:color w:val="0B2545"/>
          <w:sz w:val="22"/>
        </w:rPr>
        <w:t xml:space="preserve">Interaction History. </w:t>
      </w:r>
      <w:r>
        <w:rPr>
          <w:rFonts w:ascii="Calibri" w:hAnsi="Calibri"/>
          <w:color w:val="222222"/>
          <w:sz w:val="22"/>
        </w:rPr>
        <w:t>menunjukkan distribusi jumlah course yang pernah diambil user, sehingga dapat diketahui kecukupan riwayat untuk inferensi.</w:t>
      </w:r>
    </w:p>
    <w:p>
      <w:pPr>
        <w:pStyle w:val="ListBullet"/>
        <w:spacing w:after="80" w:line="264" w:lineRule="auto"/>
      </w:pPr>
      <w:r>
        <w:rPr>
          <w:rFonts w:ascii="Calibri" w:hAnsi="Calibri"/>
          <w:b/>
          <w:color w:val="0B2545"/>
          <w:sz w:val="22"/>
        </w:rPr>
        <w:t xml:space="preserve">Course Popularity. </w:t>
      </w:r>
      <w:r>
        <w:rPr>
          <w:rFonts w:ascii="Calibri" w:hAnsi="Calibri"/>
          <w:color w:val="222222"/>
          <w:sz w:val="22"/>
        </w:rPr>
        <w:t>menunjukkan distribusi frekuensi course pada data train dan membantu membaca potensi pengaruh course populer terhadap rekomendasi.</w:t>
      </w:r>
    </w:p>
    <w:p>
      <w:pPr>
        <w:spacing w:before="320" w:after="140"/>
      </w:pPr>
      <w:r>
        <w:rPr>
          <w:rFonts w:ascii="Calibri" w:hAnsi="Calibri"/>
          <w:b/>
          <w:color w:val="2E74B5"/>
          <w:sz w:val="32"/>
        </w:rPr>
        <w:t>4. Model Card</w:t>
      </w:r>
    </w:p>
    <w:p>
      <w:pPr>
        <w:spacing w:after="120" w:line="264" w:lineRule="auto"/>
      </w:pPr>
      <w:r>
        <w:rPr>
          <w:rFonts w:ascii="Calibri" w:hAnsi="Calibri"/>
          <w:color w:val="222222"/>
          <w:sz w:val="22"/>
        </w:rPr>
        <w:t>Model Card adalah dokumentasi teknis dari model aktif. Arsitektur yang digunakan adalah Encoder-Decoder LSTM dengan Attention. Encoder mempelajari urutan riwayat course pengguna, decoder membentuk representasi pengguna, dan attention membantu model memberi bobot lebih besar pada riwayat course yang paling relevan.</w:t>
      </w:r>
    </w:p>
    <w:p>
      <w:pPr>
        <w:pStyle w:val="ListBullet"/>
        <w:spacing w:after="80" w:line="264" w:lineRule="auto"/>
      </w:pPr>
      <w:r>
        <w:rPr>
          <w:rFonts w:ascii="Calibri" w:hAnsi="Calibri"/>
          <w:b/>
          <w:color w:val="0B2545"/>
          <w:sz w:val="22"/>
        </w:rPr>
        <w:t xml:space="preserve">Architecture. </w:t>
      </w:r>
      <w:r>
        <w:rPr>
          <w:rFonts w:ascii="Calibri" w:hAnsi="Calibri"/>
          <w:color w:val="222222"/>
          <w:sz w:val="22"/>
        </w:rPr>
        <w:t>menjelaskan jenis model, versi artefak, dan strategi ranking. Softmax Ranking adalah ranking utama; Cosine Similarity Ranking tersedia sebagai skor alternatif.</w:t>
      </w:r>
    </w:p>
    <w:p>
      <w:pPr>
        <w:pStyle w:val="ListBullet"/>
        <w:spacing w:after="80" w:line="264" w:lineRule="auto"/>
      </w:pPr>
      <w:r>
        <w:rPr>
          <w:rFonts w:ascii="Calibri" w:hAnsi="Calibri"/>
          <w:b/>
          <w:color w:val="0B2545"/>
          <w:sz w:val="22"/>
        </w:rPr>
        <w:t xml:space="preserve">Input and Vocabulary. </w:t>
      </w:r>
      <w:r>
        <w:rPr>
          <w:rFonts w:ascii="Calibri" w:hAnsi="Calibri"/>
          <w:color w:val="222222"/>
          <w:sz w:val="22"/>
        </w:rPr>
        <w:t>menunjukkan input maksimum 10 interaksi terbaru, sedangkan seluruh history course sebelum waktu prediksi digunakan untuk mengecualikan course yang telah diikuti dari kandidat rekomendasi.</w:t>
      </w:r>
    </w:p>
    <w:p>
      <w:pPr>
        <w:pStyle w:val="ListBullet"/>
        <w:spacing w:after="80" w:line="264" w:lineRule="auto"/>
      </w:pPr>
      <w:r>
        <w:rPr>
          <w:rFonts w:ascii="Calibri" w:hAnsi="Calibri"/>
          <w:b/>
          <w:color w:val="0B2545"/>
          <w:sz w:val="22"/>
        </w:rPr>
        <w:t xml:space="preserve">Representation. </w:t>
      </w:r>
      <w:r>
        <w:rPr>
          <w:rFonts w:ascii="Calibri" w:hAnsi="Calibri"/>
          <w:color w:val="222222"/>
          <w:sz w:val="22"/>
        </w:rPr>
        <w:t>menampilkan ukuran embedding dan latent dimension yang digunakan untuk merepresentasikan fitur pembelajaran.</w:t>
      </w:r>
    </w:p>
    <w:p>
      <w:pPr>
        <w:pStyle w:val="ListBullet"/>
        <w:spacing w:after="80" w:line="264" w:lineRule="auto"/>
      </w:pPr>
      <w:r>
        <w:rPr>
          <w:rFonts w:ascii="Calibri" w:hAnsi="Calibri"/>
          <w:b/>
          <w:color w:val="0B2545"/>
          <w:sz w:val="22"/>
        </w:rPr>
        <w:t xml:space="preserve">Reproducibility. </w:t>
      </w:r>
      <w:r>
        <w:rPr>
          <w:rFonts w:ascii="Calibri" w:hAnsi="Calibri"/>
          <w:color w:val="222222"/>
          <w:sz w:val="22"/>
        </w:rPr>
        <w:t>menampilkan random seed, threshold course pada data train, repeated-run seeds, dan protokol evaluasi agar eksperimen dapat diulang secara konsisten.</w:t>
      </w:r>
    </w:p>
    <w:p>
      <w:pPr>
        <w:spacing w:before="320" w:after="140"/>
      </w:pPr>
      <w:r>
        <w:rPr>
          <w:rFonts w:ascii="Calibri" w:hAnsi="Calibri"/>
          <w:b/>
          <w:color w:val="2E74B5"/>
          <w:sz w:val="32"/>
        </w:rPr>
        <w:t>5. Evaluation</w:t>
      </w:r>
    </w:p>
    <w:p>
      <w:pPr>
        <w:spacing w:after="120" w:line="264" w:lineRule="auto"/>
      </w:pPr>
      <w:r>
        <w:rPr>
          <w:rFonts w:ascii="Calibri" w:hAnsi="Calibri"/>
          <w:color w:val="222222"/>
          <w:sz w:val="22"/>
        </w:rPr>
        <w:t>Evaluation menampilkan pengukuran performa model pada data test yang dipisahkan secara temporal. Metric Snapshot memberikan tampilan ringkas, sedangkan tabel Top-K Performance, Coverage, dan Strict Comparison menyediakan detail hasil eksperimen.</w:t>
      </w:r>
    </w:p>
    <w:p>
      <w:pPr>
        <w:spacing w:after="120" w:line="264" w:lineRule="auto"/>
      </w:pPr>
      <w:r>
        <w:rPr>
          <w:rFonts w:ascii="Calibri" w:hAnsi="Calibri"/>
          <w:color w:val="222222"/>
          <w:sz w:val="22"/>
        </w:rPr>
        <w:t>Hasil final Softmax Ranking adalah Hit@1 58.65%, Hit@5 83.14%, Hit@10 91.60%, MRR@10 68.90%, NDCG@10 74.34%, dan Coverage@10 100.00%. Default evaluation memakai full_pre_target_history; strict robustness check memakai strict_train_history.</w:t>
      </w:r>
    </w:p>
    <w:tbl>
      <w:tblPr>
        <w:tblW w:type="auto" w:w="0"/>
        <w:jc w:val="left"/>
        <w:tblLayout w:type="fixed"/>
        <w:tblLook w:firstColumn="1" w:firstRow="1" w:lastColumn="0" w:lastRow="0" w:noHBand="0" w:noVBand="1" w:val="04A0"/>
      </w:tblPr>
      <w:tblGrid>
        <w:gridCol w:w="1800" w:type="dxa"/>
        <w:gridCol w:w="2520" w:type="dxa"/>
        <w:gridCol w:w="5040" w:type="dxa"/>
      </w:tblGrid>
      <w:tr>
        <w:tc>
          <w:tcPr>
            <w:tcW w:type="dxa" w:w="1800"/>
            <w:vAlign w:val="center"/>
            <w:tcMar>
              <w:top w:w="80" w:type="dxa"/>
              <w:start w:w="120" w:type="dxa"/>
              <w:bottom w:w="80" w:type="dxa"/>
              <w:end w:w="120" w:type="dxa"/>
            </w:tcMar>
            <w:shd w:fill="F2F4F7"/>
          </w:tcPr>
          <w:p>
            <w:pPr>
              <w:spacing w:after="0"/>
            </w:pPr>
            <w:r>
              <w:rPr>
                <w:rFonts w:ascii="Calibri" w:hAnsi="Calibri"/>
                <w:b/>
                <w:color w:val="0B2545"/>
                <w:sz w:val="20"/>
              </w:rPr>
              <w:t>Metrik</w:t>
            </w:r>
          </w:p>
        </w:tc>
        <w:tc>
          <w:tcPr>
            <w:tcW w:type="dxa" w:w="2520"/>
            <w:vAlign w:val="center"/>
            <w:tcMar>
              <w:top w:w="80" w:type="dxa"/>
              <w:start w:w="120" w:type="dxa"/>
              <w:bottom w:w="80" w:type="dxa"/>
              <w:end w:w="120" w:type="dxa"/>
            </w:tcMar>
            <w:shd w:fill="F2F4F7"/>
          </w:tcPr>
          <w:p>
            <w:pPr>
              <w:spacing w:after="0"/>
            </w:pPr>
            <w:r>
              <w:rPr>
                <w:rFonts w:ascii="Calibri" w:hAnsi="Calibri"/>
                <w:b/>
                <w:color w:val="0B2545"/>
                <w:sz w:val="20"/>
              </w:rPr>
              <w:t>Makna</w:t>
            </w:r>
          </w:p>
        </w:tc>
        <w:tc>
          <w:tcPr>
            <w:tcW w:type="dxa" w:w="5040"/>
            <w:vAlign w:val="center"/>
            <w:tcMar>
              <w:top w:w="80" w:type="dxa"/>
              <w:start w:w="120" w:type="dxa"/>
              <w:bottom w:w="80" w:type="dxa"/>
              <w:end w:w="120" w:type="dxa"/>
            </w:tcMar>
            <w:shd w:fill="F2F4F7"/>
          </w:tcPr>
          <w:p>
            <w:pPr>
              <w:spacing w:after="0"/>
            </w:pPr>
            <w:r>
              <w:rPr>
                <w:rFonts w:ascii="Calibri" w:hAnsi="Calibri"/>
                <w:b/>
                <w:color w:val="0B2545"/>
                <w:sz w:val="20"/>
              </w:rPr>
              <w:t>Interpretasi</w:t>
            </w:r>
          </w:p>
        </w:tc>
      </w:tr>
      <w:tr>
        <w:tc>
          <w:tcPr>
            <w:tcW w:type="dxa" w:w="1800"/>
          </w:tcPr>
          <w:p>
            <w:pPr>
              <w:spacing w:after="0"/>
            </w:pPr>
            <w:r>
              <w:rPr>
                <w:rFonts w:ascii="Calibri" w:hAnsi="Calibri"/>
                <w:b/>
                <w:color w:val="222222"/>
                <w:sz w:val="19"/>
              </w:rPr>
              <w:t>Hit@K / Recall@K</w:t>
            </w:r>
          </w:p>
        </w:tc>
        <w:tc>
          <w:tcPr>
            <w:tcW w:type="dxa" w:w="2520"/>
          </w:tcPr>
          <w:p>
            <w:pPr>
              <w:spacing w:after="0"/>
            </w:pPr>
            <w:r>
              <w:rPr>
                <w:rFonts w:ascii="Calibri" w:hAnsi="Calibri"/>
                <w:b w:val="0"/>
                <w:color w:val="222222"/>
                <w:sz w:val="19"/>
              </w:rPr>
              <w:t>Target muncul di Top-K</w:t>
            </w:r>
          </w:p>
        </w:tc>
        <w:tc>
          <w:tcPr>
            <w:tcW w:type="dxa" w:w="5040"/>
          </w:tcPr>
          <w:p>
            <w:pPr>
              <w:spacing w:after="0"/>
            </w:pPr>
            <w:r>
              <w:rPr>
                <w:rFonts w:ascii="Calibri" w:hAnsi="Calibri"/>
                <w:b w:val="0"/>
                <w:color w:val="222222"/>
                <w:sz w:val="19"/>
              </w:rPr>
              <w:t>Menunjukkan kemampuan model menemukan course relevan. Pada satu target per sampel, kedua nilai dapat sama.</w:t>
            </w:r>
          </w:p>
        </w:tc>
      </w:tr>
      <w:tr>
        <w:tc>
          <w:tcPr>
            <w:tcW w:type="dxa" w:w="1800"/>
          </w:tcPr>
          <w:p>
            <w:pPr>
              <w:spacing w:after="0"/>
            </w:pPr>
            <w:r>
              <w:rPr>
                <w:rFonts w:ascii="Calibri" w:hAnsi="Calibri"/>
                <w:b/>
                <w:color w:val="222222"/>
                <w:sz w:val="19"/>
              </w:rPr>
              <w:t>MRR@K</w:t>
            </w:r>
          </w:p>
        </w:tc>
        <w:tc>
          <w:tcPr>
            <w:tcW w:type="dxa" w:w="2520"/>
          </w:tcPr>
          <w:p>
            <w:pPr>
              <w:spacing w:after="0"/>
            </w:pPr>
            <w:r>
              <w:rPr>
                <w:rFonts w:ascii="Calibri" w:hAnsi="Calibri"/>
                <w:b w:val="0"/>
                <w:color w:val="222222"/>
                <w:sz w:val="19"/>
              </w:rPr>
              <w:t>Posisi target</w:t>
            </w:r>
          </w:p>
        </w:tc>
        <w:tc>
          <w:tcPr>
            <w:tcW w:type="dxa" w:w="5040"/>
          </w:tcPr>
          <w:p>
            <w:pPr>
              <w:spacing w:after="0"/>
            </w:pPr>
            <w:r>
              <w:rPr>
                <w:rFonts w:ascii="Calibri" w:hAnsi="Calibri"/>
                <w:b w:val="0"/>
                <w:color w:val="222222"/>
                <w:sz w:val="19"/>
              </w:rPr>
              <w:t>Nilai lebih tinggi berarti target lebih sering muncul pada ranking awal.</w:t>
            </w:r>
          </w:p>
        </w:tc>
      </w:tr>
      <w:tr>
        <w:tc>
          <w:tcPr>
            <w:tcW w:type="dxa" w:w="1800"/>
          </w:tcPr>
          <w:p>
            <w:pPr>
              <w:spacing w:after="0"/>
            </w:pPr>
            <w:r>
              <w:rPr>
                <w:rFonts w:ascii="Calibri" w:hAnsi="Calibri"/>
                <w:b/>
                <w:color w:val="222222"/>
                <w:sz w:val="19"/>
              </w:rPr>
              <w:t>NDCG@K</w:t>
            </w:r>
          </w:p>
        </w:tc>
        <w:tc>
          <w:tcPr>
            <w:tcW w:type="dxa" w:w="2520"/>
          </w:tcPr>
          <w:p>
            <w:pPr>
              <w:spacing w:after="0"/>
            </w:pPr>
            <w:r>
              <w:rPr>
                <w:rFonts w:ascii="Calibri" w:hAnsi="Calibri"/>
                <w:b w:val="0"/>
                <w:color w:val="222222"/>
                <w:sz w:val="19"/>
              </w:rPr>
              <w:t>Kualitas urutan</w:t>
            </w:r>
          </w:p>
        </w:tc>
        <w:tc>
          <w:tcPr>
            <w:tcW w:type="dxa" w:w="5040"/>
          </w:tcPr>
          <w:p>
            <w:pPr>
              <w:spacing w:after="0"/>
            </w:pPr>
            <w:r>
              <w:rPr>
                <w:rFonts w:ascii="Calibri" w:hAnsi="Calibri"/>
                <w:b w:val="0"/>
                <w:color w:val="222222"/>
                <w:sz w:val="19"/>
              </w:rPr>
              <w:t>Memberi bobot lebih tinggi apabila target berada di peringkat lebih atas.</w:t>
            </w:r>
          </w:p>
        </w:tc>
      </w:tr>
      <w:tr>
        <w:tc>
          <w:tcPr>
            <w:tcW w:type="dxa" w:w="1800"/>
          </w:tcPr>
          <w:p>
            <w:pPr>
              <w:spacing w:after="0"/>
            </w:pPr>
            <w:r>
              <w:rPr>
                <w:rFonts w:ascii="Calibri" w:hAnsi="Calibri"/>
                <w:b/>
                <w:color w:val="222222"/>
                <w:sz w:val="19"/>
              </w:rPr>
              <w:t>Coverage@K</w:t>
            </w:r>
          </w:p>
        </w:tc>
        <w:tc>
          <w:tcPr>
            <w:tcW w:type="dxa" w:w="2520"/>
          </w:tcPr>
          <w:p>
            <w:pPr>
              <w:spacing w:after="0"/>
            </w:pPr>
            <w:r>
              <w:rPr>
                <w:rFonts w:ascii="Calibri" w:hAnsi="Calibri"/>
                <w:b w:val="0"/>
                <w:color w:val="222222"/>
                <w:sz w:val="19"/>
              </w:rPr>
              <w:t>Jangkauan katalog</w:t>
            </w:r>
          </w:p>
        </w:tc>
        <w:tc>
          <w:tcPr>
            <w:tcW w:type="dxa" w:w="5040"/>
          </w:tcPr>
          <w:p>
            <w:pPr>
              <w:spacing w:after="0"/>
            </w:pPr>
            <w:r>
              <w:rPr>
                <w:rFonts w:ascii="Calibri" w:hAnsi="Calibri"/>
                <w:b w:val="0"/>
                <w:color w:val="222222"/>
                <w:sz w:val="19"/>
              </w:rPr>
              <w:t>Menunjukkan apakah rekomendasi menjangkau variasi course, tidak hanya course tertentu.</w:t>
            </w:r>
          </w:p>
        </w:tc>
      </w:tr>
    </w:tbl>
    <w:p>
      <w:pPr>
        <w:spacing w:before="320" w:after="140"/>
      </w:pPr>
      <w:r>
        <w:rPr>
          <w:rFonts w:ascii="Calibri" w:hAnsi="Calibri"/>
          <w:b/>
          <w:color w:val="2E74B5"/>
          <w:sz w:val="32"/>
        </w:rPr>
        <w:t>6. Error Analysis</w:t>
      </w:r>
    </w:p>
    <w:p>
      <w:pPr>
        <w:spacing w:after="120" w:line="264" w:lineRule="auto"/>
      </w:pPr>
      <w:r>
        <w:rPr>
          <w:rFonts w:ascii="Calibri" w:hAnsi="Calibri"/>
          <w:color w:val="222222"/>
          <w:sz w:val="22"/>
        </w:rPr>
        <w:t>Error Analysis menjelaskan pola keberhasilan dan kegagalan rekomendasi. Ringkasan membandingkan Similarity Ranking dan Softmax Ranking melalui Hit@10, Miss@10, total sampel, panjang riwayat user, serta frekuensi target pada data train.</w:t>
      </w:r>
    </w:p>
    <w:p>
      <w:pPr>
        <w:spacing w:after="120" w:line="264" w:lineRule="auto"/>
      </w:pPr>
      <w:r>
        <w:rPr>
          <w:rFonts w:ascii="Calibri" w:hAnsi="Calibri"/>
          <w:color w:val="222222"/>
          <w:sz w:val="22"/>
        </w:rPr>
        <w:t>Rank Outcome Distribution memperlihatkan apakah target berada pada Rank 1, Rank 2-5, Rank 6-10, atau tidak masuk Top-10. Analisis ini penting karena nilai evaluasi saja belum cukup menjelaskan posisi target dan faktor yang menyebabkan miss. Course yang lebih jarang muncul pada data train atau pola riwayat user yang lebih kompleks dapat menjadi sumber keterbatasan model.</w:t>
      </w:r>
    </w:p>
    <w:p>
      <w:pPr>
        <w:spacing w:before="320" w:after="140"/>
      </w:pPr>
      <w:r>
        <w:rPr>
          <w:rFonts w:ascii="Calibri" w:hAnsi="Calibri"/>
          <w:b/>
          <w:color w:val="2E74B5"/>
          <w:sz w:val="32"/>
        </w:rPr>
        <w:t>7. User Search</w:t>
      </w:r>
    </w:p>
    <w:p>
      <w:pPr>
        <w:spacing w:after="120" w:line="264" w:lineRule="auto"/>
      </w:pPr>
      <w:r>
        <w:rPr>
          <w:rFonts w:ascii="Calibri" w:hAnsi="Calibri"/>
          <w:color w:val="222222"/>
          <w:sz w:val="22"/>
        </w:rPr>
        <w:t>User Search menampilkan hasil rekomendasi individual dari active recommendation export, bukan melakukan live/direct inference. Pengguna memasukkan User ID sebagai teks exact; leading zero dipertahankan dan tidak ditebak. Kolom Rank, Course, Softmax, Similarity, Level, dan Reason membantu membaca hasil yang telah diekspor.</w:t>
      </w:r>
    </w:p>
    <w:p>
      <w:pPr>
        <w:spacing w:after="120" w:line="264" w:lineRule="auto"/>
      </w:pPr>
      <w:r>
        <w:rPr>
          <w:rFonts w:ascii="Calibri" w:hAnsi="Calibri"/>
          <w:color w:val="222222"/>
          <w:sz w:val="22"/>
        </w:rPr>
        <w:t>Apabila User ID ada pada dataset sumber tetapi tidak berada pada export aktif, dashboard menampilkan status user_not_in_active_export. Reason lain dapat menunjukkan history_too_short, user_history_not_found, model_inference, atau popularity_fallback sesuai hasil pada export.</w:t>
      </w:r>
    </w:p>
    <w:p>
      <w:pPr>
        <w:spacing w:before="320" w:after="140"/>
      </w:pPr>
      <w:r>
        <w:rPr>
          <w:rFonts w:ascii="Calibri" w:hAnsi="Calibri"/>
          <w:b/>
          <w:color w:val="2E74B5"/>
          <w:sz w:val="32"/>
        </w:rPr>
        <w:t>8. Export Review</w:t>
      </w:r>
    </w:p>
    <w:p>
      <w:pPr>
        <w:spacing w:after="120" w:line="264" w:lineRule="auto"/>
      </w:pPr>
      <w:r>
        <w:rPr>
          <w:rFonts w:ascii="Calibri" w:hAnsi="Calibri"/>
          <w:color w:val="222222"/>
          <w:sz w:val="22"/>
        </w:rPr>
        <w:t>Export Review menampilkan data dari active recommendation export, yang dapat berupa demonstration subset atau full batch export tergantung konfigurasi. Active export saat ini adalah demonstration_subset dengan 20 user, Top-K 10, dan 200 recommendation rows; export ini tidak merepresentasikan seluruh 9,598 pengguna.</w:t>
      </w:r>
    </w:p>
    <w:p>
      <w:pPr>
        <w:spacing w:after="120" w:line="264" w:lineRule="auto"/>
      </w:pPr>
      <w:r>
        <w:rPr>
          <w:rFonts w:ascii="Calibri" w:hAnsi="Calibri"/>
          <w:color w:val="222222"/>
          <w:sz w:val="22"/>
        </w:rPr>
        <w:t>Setiap baris berisi User ID, ranking, course, score, kompetensi, level, dan reason. Fitur pagination digunakan agar export dapat diperiksa secara bertahap tanpa menampilkan seluruh baris sekaligus.</w:t>
      </w:r>
    </w:p>
    <w:p>
      <w:pPr>
        <w:spacing w:before="320" w:after="140"/>
      </w:pPr>
      <w:r>
        <w:rPr>
          <w:rFonts w:ascii="Calibri" w:hAnsi="Calibri"/>
          <w:b/>
          <w:color w:val="2E74B5"/>
          <w:sz w:val="32"/>
        </w:rPr>
        <w:t>9. Refresh dan Raw Response</w:t>
      </w:r>
    </w:p>
    <w:p>
      <w:pPr>
        <w:spacing w:after="120" w:line="264" w:lineRule="auto"/>
      </w:pPr>
      <w:r>
        <w:rPr>
          <w:rFonts w:ascii="Calibri" w:hAnsi="Calibri"/>
          <w:color w:val="222222"/>
          <w:sz w:val="22"/>
        </w:rPr>
        <w:t>Refresh digunakan untuk menghasilkan ulang file export tanpa melatih model dari awal. Parameter Top-K menentukan jumlah rekomendasi per user, sedangkan Max Users mengatur subset bila diisi; export penuh hanya dibuat bila dikonfigurasi secara eksplisit. Log proses dan ringkasan hasil membantu memantau keberhasilan proses batch.</w:t>
      </w:r>
    </w:p>
    <w:p>
      <w:pPr>
        <w:spacing w:after="120" w:line="264" w:lineRule="auto"/>
      </w:pPr>
      <w:r>
        <w:rPr>
          <w:rFonts w:ascii="Calibri" w:hAnsi="Calibri"/>
          <w:color w:val="222222"/>
          <w:sz w:val="22"/>
        </w:rPr>
        <w:t>Raw Response menampilkan payload JSON dari health, user, export, evaluation, dan refresh. Halaman ini mendukung verifikasi struktur API, debugging, dan pembuktian bahwa data frontend berasal dari respons backend yang terdefinisi.</w:t>
      </w:r>
    </w:p>
    <w:p>
      <w:pPr>
        <w:spacing w:before="320" w:after="140"/>
      </w:pPr>
      <w:r>
        <w:rPr>
          <w:rFonts w:ascii="Calibri" w:hAnsi="Calibri"/>
          <w:b/>
          <w:color w:val="2E74B5"/>
          <w:sz w:val="32"/>
        </w:rPr>
        <w:t>10. Kesimpulan</w:t>
      </w:r>
    </w:p>
    <w:p>
      <w:pPr>
        <w:spacing w:after="120" w:line="264" w:lineRule="auto"/>
      </w:pPr>
      <w:r>
        <w:rPr>
          <w:rFonts w:ascii="Calibri" w:hAnsi="Calibri"/>
          <w:color w:val="222222"/>
          <w:sz w:val="22"/>
        </w:rPr>
        <w:t>Secara keseluruhan, dashboard CRE ML berfungsi sebagai bukti operasional dan ilmiah dari penelitian. Data diaudit sebelum digunakan, model didokumentasikan, performa dievaluasi dengan metrik ranking, kesalahan dianalisis, rekomendasi dapat diperiksa per user maupun batch, dan proses refresh dapat dipantau. Struktur ini mendukung transparansi, reproduktibilitas, serta kesiapan sistem untuk dipresentasikan dalam skripsi maupun artikel ilmiah.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6"/>
        <w:sz w:val="18"/>
      </w:rPr>
      <w:t xml:space="preserve">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F6B76"/>
        <w:sz w:val="18"/>
      </w:rPr>
      <w:t>CRE ML Recommendation Service | Panduan Interpretasi Dashboard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Interpretasi Dashboard CRE ML</dc:title>
  <dc:subject>Dokumentasi dashboard penelitian machine learning</dc:subject>
  <dc:creator>CRE ML Research</dc:creator>
  <cp:keywords/>
  <dc:description>generated by python-docx</dc:description>
  <cp:lastModifiedBy/>
  <cp:revision>1</cp:revision>
  <dcterms:created xsi:type="dcterms:W3CDTF">2013-12-23T23:15:00Z</dcterms:created>
  <dcterms:modified xsi:type="dcterms:W3CDTF">2013-12-23T23:15:00Z</dcterms:modified>
  <cp:category/>
</cp:coreProperties>
</file>