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PRILOG I TD</w:t>
      </w:r>
    </w:p>
    <w:p>
      <w:pPr>
        <w:pStyle w:val="Subtitle"/>
      </w:pPr>
      <w:r>
        <w:t>SPECIFIKACIJA ZAHTJEVA</w:t>
      </w:r>
    </w:p>
    <w:p>
      <w:pPr>
        <w:jc w:val="center"/>
      </w:pPr>
      <w:r>
        <w:rPr>
          <w:color w:val="595959"/>
          <w:sz w:val="20"/>
        </w:rPr>
        <w:t>Autonomni hibridni sistem napajanja — SJEDNICA (Bileća)</w:t>
        <w:br/>
        <w:t>LOT 1: nosači fotonaponskih panela · LOT 2: dizel električni agregat u kontejneru</w:t>
      </w:r>
    </w:p>
    <w:p/>
    <w:p>
      <w:pPr>
        <w:spacing w:after="80"/>
      </w:pPr>
      <w:r>
        <w:rPr>
          <w:b w:val="0"/>
          <w:i w:val="0"/>
          <w:sz w:val="19"/>
        </w:rPr>
        <w:t>Ovaj Prilog utvrđuje tehničke zahtjeve i dokaze koje Ponuđač dostavlja UZ PONUDU kao uslov kvalifikacije — ponuda koja ih ne sadrži smatra se neprihvatljivom.Prilog se čita zajedno sa Prilogom II (Obrazac za cijenu ponude) i Prilogom III (Situacija, dispozicija i grafički prilozi).</w:t>
      </w:r>
    </w:p>
    <w:p>
      <w:pPr>
        <w:spacing w:before="80" w:after="120"/>
        <w:shd w:fill="FCEEDD"/>
        <w:pBdr>
          <w:left w:val="single" w:sz="18" w:space="4" w:color="F5821F"/>
        </w:pBdr>
        <w:ind w:left="160"/>
      </w:pPr>
      <w:r>
        <w:rPr>
          <w:b/>
          <w:sz w:val="19"/>
        </w:rPr>
        <w:t>U slučaju neslaganja između dokumenata TD mjerodavni su redom: (1) Tenderska dokumentacija (TD), (2) ovaj Prilog I, (3) Prilog II (Predmjer), (4) Prilog III (grafički prilozi i referentna dokumentacija). Prilog III sadrži i preuzete stranice ranije dokumentacije, koje služe samo kao podloga; mjerodavan raspored opreme i otvora u kontejneru je onaj sa crteža M-01.</w:t>
      </w:r>
    </w:p>
    <w:p>
      <w:pPr>
        <w:pStyle w:val="Heading1"/>
      </w:pPr>
      <w:r>
        <w:t>1. Osnovni podaci o lokaciji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835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576"/>
            <w:shd w:fill="F2F2F2"/>
          </w:tcPr>
          <w:p>
            <w:r/>
            <w:r>
              <w:rPr>
                <w:b/>
                <w:sz w:val="17"/>
              </w:rPr>
              <w:t>Vrijednost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Lokacija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Sjednica, Bileća, BiH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Koordinate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42,9448° N · 18,3236° 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Nadmorska visina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1076 m n.v.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Priključak EES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NE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Bilans potrošnje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1180 W nazivno / 1330 W maksimalno, −48 V DC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 xml:space="preserve">Dostupni prostor: 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≈150 m² (16,00 × 9,40 m)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Postojeći objekat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AB ploča 5,40 × 5,40 m, ograda h = 1,90 m, kapija 1,00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Antenski stub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rešetkasti, h = 38 m, baza 4,20 × 4,20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Kontejner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3,00 × 2,30 m vanjski, zidni paneli 60 mm, bez opreme; ulazna vrata 900 × 2000 mm na ISTOČNOM zidu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Nosivost poda kontejnera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10,00 kN/m² ukupno (g+p), ravnomjerno raspodijeljeno — ovjereni projekat lokacije, „04 AG dio", tačka 4.4.2.3 (2,00 kN/m² iz istog projekta je pokretno opterećenje prohodnog dijela poda)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Sistem napajanja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Huawei ICC330-H1 + MTS9302, vanjski ormari uz SJEVERNI zid kontejnera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Uzemljenje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postojeći prstenasti uzemljivač Fe/Zn 25 × 4 mm</w:t>
            </w:r>
          </w:p>
        </w:tc>
      </w:tr>
    </w:tbl>
    <w:p/>
    <w:p>
      <w:pPr>
        <w:pStyle w:val="Heading2"/>
      </w:pPr>
      <w:r>
        <w:t>1.1 Klimatski i geotehnički uslovi (MJERODAVNO)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1701"/>
            <w:shd w:fill="F2F2F2"/>
          </w:tcPr>
          <w:p>
            <w:r/>
            <w:r>
              <w:rPr>
                <w:b/>
                <w:sz w:val="17"/>
              </w:rPr>
              <w:t>Uticaj</w:t>
            </w:r>
          </w:p>
        </w:tc>
        <w:tc>
          <w:tcPr>
            <w:tcW w:type="dxa" w:w="3061"/>
            <w:shd w:fill="F2F2F2"/>
          </w:tcPr>
          <w:p>
            <w:r/>
            <w:r>
              <w:rPr>
                <w:b/>
                <w:sz w:val="17"/>
              </w:rPr>
              <w:t>Projektna vrijednost</w:t>
            </w:r>
          </w:p>
        </w:tc>
        <w:tc>
          <w:tcPr>
            <w:tcW w:type="dxa" w:w="4649"/>
            <w:shd w:fill="F2F2F2"/>
          </w:tcPr>
          <w:p>
            <w:r/>
            <w:r>
              <w:rPr>
                <w:b/>
                <w:sz w:val="17"/>
              </w:rPr>
              <w:t>Napomena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Vjetar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qp ≥ 1,20 kN/m² (udar 3 s ≈ 45 m/s)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ovjereni projekat lokacije i BAS EN 1991-1-4 + BiH NA, sa orografijom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Snijeg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prema BAS EN 1991-1-3 + BiH NA, Zona L1-L2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provjera obavezna; nije mjerodavan zbog raznošenja vjetrom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Led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radijalni 20 mm, gustina 300 kg/m³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izloženi planinski vrh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Temperatura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−25 °C do +50 °C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radni opseg opreme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Gustina zraka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1,04–1,09 kg/m³ na 1076 m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derating agregata i dimenzionisanje ventilacije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Tlo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kamenito (krš); nosivost ≥100 kPa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Ponuđač potvrđuje geomehaničkim uvidom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7"/>
              </w:rPr>
              <w:t>Smrzavanje</w:t>
            </w:r>
          </w:p>
        </w:tc>
        <w:tc>
          <w:tcPr>
            <w:tcW w:type="dxa" w:w="3061"/>
          </w:tcPr>
          <w:p>
            <w:r/>
            <w:r>
              <w:rPr>
                <w:sz w:val="17"/>
              </w:rPr>
              <w:t>temeljna spojnica ispod dubine smrzavanja</w:t>
            </w:r>
          </w:p>
        </w:tc>
        <w:tc>
          <w:tcPr>
            <w:tcW w:type="dxa" w:w="4649"/>
          </w:tcPr>
          <w:p>
            <w:r/>
            <w:r>
              <w:rPr>
                <w:sz w:val="17"/>
              </w:rPr>
              <w:t>Ponuđač navodi usvojenu dubinu</w:t>
            </w:r>
          </w:p>
        </w:tc>
      </w:tr>
    </w:tbl>
    <w:p/>
    <w:p>
      <w:pPr>
        <w:pStyle w:val="Heading1"/>
      </w:pPr>
      <w:r>
        <w:t>2. Referentni standardi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494"/>
            <w:shd w:fill="F2F2F2"/>
          </w:tcPr>
          <w:p>
            <w:r/>
            <w:r>
              <w:rPr>
                <w:b/>
                <w:sz w:val="17"/>
              </w:rPr>
              <w:t>Oblast</w:t>
            </w:r>
          </w:p>
        </w:tc>
        <w:tc>
          <w:tcPr>
            <w:tcW w:type="dxa" w:w="6917"/>
            <w:shd w:fill="F2F2F2"/>
          </w:tcPr>
          <w:p>
            <w:r/>
            <w:r>
              <w:rPr>
                <w:b/>
                <w:sz w:val="17"/>
              </w:rPr>
              <w:t>Standardi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Osnove proračuna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BAS EN 1990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Dejstva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BAS EN 1991-1-3 (snijeg), BAS EN 1991-1-4 (vjetar), sa BiH NA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Beton i čelik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BAS EN 1992-1-1, BAS EN 1993-1-1, BAS EN 206, EN 10025-2, EN 10219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Geotehnika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BAS EN 1997-1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Izrada čeličnih konstrukcija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EN 1090-1, EN 1090-2 (EXC2)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Antikorozivna zaštita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EN ISO 1461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Elektroinstalacije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IEC 60364 (posebno 60364-4-41), BAS EN 60529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Gromobranska zaštita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EN 62305-1 do -4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Prenaponska zaštita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EN 61643-11, EN 61643-21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Fotonaponski sistemi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IEC 62548, IEC 62852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Agregati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ISO 8528-1, ISO 8528-3, ISO 3046-1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Zaštita od požara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važeći propisi RS/BiH; elaborat zaštite od požara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Dokumentacija proizvođača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Huawei PV Module Solution User Manual; Huawei GroundSupport; FG Wilson P22-6 (Skid) TDS 2019-08-14</w:t>
            </w:r>
          </w:p>
        </w:tc>
      </w:tr>
    </w:tbl>
    <w:p/>
    <w:p>
      <w:pPr>
        <w:pStyle w:val="Heading1"/>
      </w:pPr>
      <w:r>
        <w:t>3. LOT 1 — Infrastruktura fotonaponskih panela</w:t>
      </w:r>
    </w:p>
    <w:p>
      <w:pPr>
        <w:pStyle w:val="Heading2"/>
      </w:pPr>
      <w:r>
        <w:t>3.1 Konfiguracija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835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576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Broj nosača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3 kom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Broj stringova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2 stringa × 6 modula (Voc ≈309 V, Imp 13,67 A) — po jedan string na svaku od dvije rute PVDB ormara; string se prostire preko dva nosača (vidi crtež E-01)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Moduli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12 × 585 Wp = 7,02 kWp; 4 modula po nosaču, 2 reda × 2 stupca, portret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Tip modula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Huawei iPV585-M2A (2278 × 1134 × 30 mm)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Nagib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fiksno 45° — ZADRŽAN zbog decembarskog prinosa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Azimut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180° (JUG)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Širina PV polja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2305 mm (poprečna greda 2918 mm, bočni prepust 306,5 mm)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Dužina PV polja po nagibu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4576 mm (2 × 2278 mm)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Horizontalna projekcija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3236 mm pri 45°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Donja / gornja ivica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+1,50 m / +4,74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Nadvišenje ograde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2,84 m iznad kote ograde h = 1,90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7"/>
              </w:rPr>
              <w:t>Površina izloženosti vjetru</w:t>
            </w:r>
          </w:p>
        </w:tc>
        <w:tc>
          <w:tcPr>
            <w:tcW w:type="dxa" w:w="6576"/>
          </w:tcPr>
          <w:p>
            <w:r/>
            <w:r>
              <w:rPr>
                <w:sz w:val="17"/>
              </w:rPr>
              <w:t>10,55 m² po nosaču</w:t>
            </w:r>
          </w:p>
        </w:tc>
      </w:tr>
    </w:tbl>
    <w:p/>
    <w:p>
      <w:pPr>
        <w:spacing w:after="80"/>
      </w:pPr>
      <w:r>
        <w:rPr>
          <w:b w:val="0"/>
          <w:i/>
          <w:sz w:val="18"/>
        </w:rPr>
        <w:t>Inklinacija 45°: pri podnevnoj visini Sunca 23,6° na dan 21.12. i geografskoj širini 42,94°, nagib 45° ostvaruje 93 % direktnog zračenja, naspram 85 % pri 35° i 75 % pri 25°. Decembar je mjerodavni mjesec za dimenzionisanje autonomnog sistema (proizvodnja 560–600 kWh naspram potrošnje 878 kWh), zbog čega se godišnji prinos ne uzima kao kriterij.</w:t>
      </w:r>
    </w:p>
    <w:p>
      <w:pPr>
        <w:pStyle w:val="Heading2"/>
      </w:pPr>
      <w:r>
        <w:t>3.2 Projektna opterećenja konstrukcije</w:t>
      </w:r>
    </w:p>
    <w:p>
      <w:pPr>
        <w:spacing w:before="80" w:after="120"/>
        <w:shd w:fill="FCEEDD"/>
        <w:pBdr>
          <w:left w:val="single" w:sz="18" w:space="4" w:color="F5821F"/>
        </w:pBdr>
        <w:ind w:left="160"/>
      </w:pPr>
      <w:r>
        <w:rPr>
          <w:b/>
          <w:sz w:val="19"/>
        </w:rPr>
        <w:t xml:space="preserve">Izrada konstrukcije : Zahtijeva se CUSTOM IZRADA konstrukcije dimenzionisaa i dokazana za stvarno opterećenje lokaliteta (Tačka 3.1); 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3061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350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Pritisak vjetra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qp ≥ 1,20 kN/m² (udar 3 s ≈ 45 m/s)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Koeficijent sile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cf ≥ 1,5 pri 45° prema EN 1991-1-4 §7.3, osim uz dokaz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Površina izloženosti vjetru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10,55 m² po nosaču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Sila podizanja po nosaču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≥18,1 kN (GSN, γQ = 1,5 / γG,fav = 0,9)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Horizontalna sila po nosaču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≥13,4 kN (GSN)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Moment prevrtanja po nosaču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≥62,8 kNm (GSN)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17"/>
              </w:rPr>
              <w:t>Mjerodavno</w:t>
            </w:r>
          </w:p>
        </w:tc>
        <w:tc>
          <w:tcPr>
            <w:tcW w:type="dxa" w:w="6350"/>
          </w:tcPr>
          <w:p>
            <w:r/>
            <w:r>
              <w:rPr>
                <w:sz w:val="17"/>
              </w:rPr>
              <w:t>podizanje (uplift) i prevrtanje, a NE nosivost tla</w:t>
            </w:r>
          </w:p>
        </w:tc>
      </w:tr>
    </w:tbl>
    <w:p/>
    <w:p>
      <w:pPr>
        <w:pStyle w:val="Heading2"/>
      </w:pPr>
      <w:r>
        <w:t>3.3 Materijal i izrada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494"/>
            <w:shd w:fill="F2F2F2"/>
          </w:tcPr>
          <w:p>
            <w:r/>
            <w:r>
              <w:rPr>
                <w:b/>
                <w:sz w:val="17"/>
              </w:rPr>
              <w:t>Element</w:t>
            </w:r>
          </w:p>
        </w:tc>
        <w:tc>
          <w:tcPr>
            <w:tcW w:type="dxa" w:w="6917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Konstrukcijski čelik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S275JR (S355JR za stubove) prema EN 10025-2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Profili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šuplji profili prema EN 10219; stubovi min. RHS 80 × 80 × 4, rigle min. RHS 60 × 40 × 3, ili presjek sa dokazano najmanje jednakim otpornim momentom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Antikorozivna zaštita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vruće cinčanje prema EN ISO 1461, min. 70 µm lokalno / 85 µm srednje (C4)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Zavarivanje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EN 1090-2, klasa izvedbe EXC2; zavarivači prema EN ISO 9606-1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Označavanje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CE i izjava o svojstvima prema EN 1090-1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Konstrukcijski vijci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M16 klase 8.8, cinčani, prema EN 15048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Pričvršćenje modula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nehrđajući A2/A4; stezaljke za debljinu modula 30 mm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Zaštita od krađe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antitheft matice na stezaljkama modula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Moment pritezanja</w:t>
            </w:r>
          </w:p>
        </w:tc>
        <w:tc>
          <w:tcPr>
            <w:tcW w:type="dxa" w:w="6917"/>
          </w:tcPr>
          <w:p>
            <w:r/>
            <w:r>
              <w:rPr>
                <w:sz w:val="17"/>
              </w:rPr>
              <w:t>prema uputstvu proizvođača (45 N·m za Huawei)</w:t>
            </w:r>
          </w:p>
        </w:tc>
      </w:tr>
    </w:tbl>
    <w:p/>
    <w:p>
      <w:pPr>
        <w:pStyle w:val="Heading2"/>
      </w:pPr>
      <w:r>
        <w:t>3.4 Sidrenje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268"/>
            <w:shd w:fill="F2F2F2"/>
          </w:tcPr>
          <w:p>
            <w:r/>
            <w:r>
              <w:rPr>
                <w:b/>
                <w:sz w:val="17"/>
              </w:rPr>
              <w:t>Element</w:t>
            </w:r>
          </w:p>
        </w:tc>
        <w:tc>
          <w:tcPr>
            <w:tcW w:type="dxa" w:w="7143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hemijski (epoksidni/vinilesterski) anker M16 ili M20, sa ETA odobrenjem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Materijal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vruće cinčan ili nehrđajući A4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Broj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min. 2 ankera po temeljnoj traci, odnosno 4 po nosaču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Nosivost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karakteristična sila čupanja ≥30 kN po ankeru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Dubina ugradnje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prema ETA za konkretnu podlogu (beton / stijena)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Projektna sila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ukupno podizanje po nosaču ≥18,1 kN; sila po traci od momenta prevrtanja ≥39,3 kN pri razmaku traka 1600 mm — ovo je mjerodavno opterećenje za sidrenje, ne ukupno podizanje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Dokazivanje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ispitivanje čupanjem na ≥10 % ugrađenih ankera, min. 2 po nosaču, do 1,5 × projektne sile, uz zapisnik ovjeren od nadzornog organa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Alternativa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livena U-sidra M16/320 dozvoljena SAMO uz gravitacioni temelj ≥0,75 m³ po nosaču — momenat prevrtanja i dalje zahtijeva provjeru lokalnog istezanja trake, ne samo ukupne mase</w:t>
            </w:r>
          </w:p>
        </w:tc>
      </w:tr>
    </w:tbl>
    <w:p/>
    <w:p>
      <w:pPr>
        <w:pStyle w:val="Heading2"/>
      </w:pPr>
      <w:r>
        <w:t>3.5 Temelji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268"/>
            <w:shd w:fill="F2F2F2"/>
          </w:tcPr>
          <w:p>
            <w:r/>
            <w:r>
              <w:rPr>
                <w:b/>
                <w:sz w:val="17"/>
              </w:rPr>
              <w:t>Element</w:t>
            </w:r>
          </w:p>
        </w:tc>
        <w:tc>
          <w:tcPr>
            <w:tcW w:type="dxa" w:w="7143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Beton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C30/37, klasa izloženosti XC4 + XF3, aerant 4–6 %, Dmax 16, S3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Podložni beton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C12/15, d = 50 mm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Armatura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B500B, zaštitni sloj ≥50 mm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Geometrija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2 trake po nosaču (×3 nosača = 6 traka ukupno), min. 450 mm široke × 3300 mm duge, razmak 1600 mm, pravac SJEVER–JUG; dubina prema statičkom proračunu (≥900 mm)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Smještaj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IZVAN ograđenog platoa, 400 mm južno od kote ograde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Dubina smrzavanja</w:t>
            </w:r>
          </w:p>
        </w:tc>
        <w:tc>
          <w:tcPr>
            <w:tcW w:type="dxa" w:w="7143"/>
          </w:tcPr>
          <w:p>
            <w:r/>
            <w:r>
              <w:rPr>
                <w:sz w:val="17"/>
              </w:rPr>
              <w:t>temeljna spojnica ispod dubine smrzavanja; Ponuđač navodi vrijednost</w:t>
            </w:r>
          </w:p>
        </w:tc>
      </w:tr>
    </w:tbl>
    <w:p/>
    <w:p>
      <w:pPr>
        <w:pStyle w:val="Heading2"/>
      </w:pPr>
      <w:r>
        <w:t>3.6 Uzemljenje (LOT 1)</w:t>
      </w:r>
    </w:p>
    <w:p>
      <w:pPr>
        <w:pStyle w:val="ListBullet"/>
        <w:spacing w:after="40"/>
      </w:pPr>
      <w:r>
        <w:rPr>
          <w:sz w:val="19"/>
        </w:rPr>
        <w:t>povezivanje sva tri nosača na postojeći prstenasti uzemljivač Fe/Zn 25 × 4 mm</w:t>
      </w:r>
    </w:p>
    <w:p>
      <w:pPr>
        <w:pStyle w:val="ListBullet"/>
        <w:spacing w:after="40"/>
      </w:pPr>
      <w:r>
        <w:rPr>
          <w:sz w:val="19"/>
        </w:rPr>
        <w:t>vodič: bakarno uže ≥50 mm² prema EN 62305-3, Tabela 7, otporno na UV i ukopavanje — NIJE dozvoljen H07V-K 25 mm² (unutrašnji instalacioni vodič)</w:t>
      </w:r>
    </w:p>
    <w:p>
      <w:pPr>
        <w:pStyle w:val="ListBullet"/>
        <w:spacing w:after="40"/>
      </w:pPr>
      <w:r>
        <w:rPr>
          <w:sz w:val="19"/>
        </w:rPr>
        <w:t>bimetalni (Cu/Fe-Zn) ukrsni komadi radi sprječavanja galvanske korozije</w:t>
      </w:r>
    </w:p>
    <w:p>
      <w:pPr>
        <w:pStyle w:val="ListBullet"/>
        <w:spacing w:after="40"/>
      </w:pPr>
      <w:r>
        <w:rPr>
          <w:sz w:val="19"/>
        </w:rPr>
        <w:t>kontinuitet spojeva ≤0,1 Ω; ukupni otpor uzemljenja ≤10 Ω</w:t>
      </w:r>
    </w:p>
    <w:p>
      <w:pPr>
        <w:pStyle w:val="ListBullet"/>
        <w:spacing w:after="40"/>
      </w:pPr>
      <w:r>
        <w:rPr>
          <w:sz w:val="19"/>
        </w:rPr>
        <w:t>DC kablovi na razmaku ≥0,5 m od odvoda gromobranske instalacije</w:t>
      </w:r>
    </w:p>
    <w:p>
      <w:pPr>
        <w:pStyle w:val="Heading1"/>
      </w:pPr>
      <w:r>
        <w:t>4. LOT 2 — Dizel električni agregat i instalacije</w:t>
      </w:r>
    </w:p>
    <w:p>
      <w:pPr>
        <w:pStyle w:val="Heading2"/>
      </w:pPr>
      <w:r>
        <w:t>4.1 Agregat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608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b/>
                <w:sz w:val="17"/>
              </w:rPr>
              <w:t>Zahtjev / referentna vrijednost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Snaga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22 kVA / 17,6 kW standby, 400/230 V, 50 Hz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Referentni tip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FG Wilson P22-6 ili ekvivalent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Motor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Perkins 404D-22G ili ekvivalent, 4-cilindarski, 1500 o/min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Izvedba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za montažu u prostor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Dimenzije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1550 × 620 × 1020 mm (referentno +/-5%)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Masa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378 kg suho / 385 kg mokro (referentno)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Derating na 1076 mnv i temperaturu okoline do +40 °C (ISO 3046-1)</w:t>
            </w:r>
          </w:p>
        </w:tc>
        <w:tc>
          <w:tcPr>
            <w:tcW w:type="dxa" w:w="6803"/>
          </w:tcPr>
          <w:p/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Uzbuda (OBAVEZNO)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nezavisna pobuda — PMG ili AREP/AUX namotaj; trajna struja kratkog spoja ≥3 × In (≈95 A) u trajanju ≥10 s prema ISO 8528-3. Standardna SHUNT pobuda NIJE prihvatljiva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Antivibracioni elementi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vlastita frekvencija ≤8 Hz; sa fleksibilnim priključcima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311999" cy="27323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nset_sid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1999" cy="27323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i/>
                <w:sz w:val="17"/>
              </w:rPr>
              <w:t xml:space="preserve"> FG Wilson P22-6, bočni pogled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28000" cy="25287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nset_front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000" cy="2528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i/>
                <w:sz w:val="17"/>
              </w:rPr>
              <w:t>Slika 2 — FG Wilson P22-6, čeoni pogled (generator)</w:t>
            </w:r>
          </w:p>
        </w:tc>
      </w:tr>
    </w:tbl>
    <w:p/>
    <w:p>
      <w:pPr>
        <w:pStyle w:val="Heading2"/>
      </w:pPr>
      <w:r>
        <w:t>4.2 Spremnik goriva</w:t>
      </w:r>
    </w:p>
    <w:p>
      <w:pPr>
        <w:pStyle w:val="ListBullet"/>
        <w:spacing w:after="40"/>
      </w:pPr>
      <w:r>
        <w:rPr>
          <w:sz w:val="19"/>
        </w:rPr>
        <w:t>metalni, dvoplašni, zapremine 500 l, sa nivo sondom i detekcijom curenja</w:t>
      </w:r>
    </w:p>
    <w:p>
      <w:pPr>
        <w:pStyle w:val="ListBullet"/>
        <w:spacing w:after="40"/>
      </w:pPr>
      <w:r>
        <w:rPr>
          <w:sz w:val="19"/>
        </w:rPr>
        <w:t>referentne dimenzije 1050 × 600 × 1310 mm, masa cca 170 kg — pun ≈590 kg na 0,63 m² = 9,2 kN/m²; unutar projektnih 10,00 kN/m², OBAVEZAN čelični ram/roštilj za raznošenje opterećenja i pod spremnikom (vidi Tačku 4.8)</w:t>
      </w:r>
    </w:p>
    <w:p>
      <w:pPr>
        <w:pStyle w:val="ListBullet"/>
        <w:spacing w:after="40"/>
      </w:pPr>
      <w:r>
        <w:rPr>
          <w:sz w:val="19"/>
        </w:rPr>
        <w:t>tankvana / sekundarna zaštita zapremine ≥110 % (550 l), referentno 1600 × 1060 mm, visina ruba 330 mm</w:t>
      </w:r>
    </w:p>
    <w:p>
      <w:pPr>
        <w:pStyle w:val="ListBullet"/>
        <w:spacing w:after="40"/>
      </w:pPr>
      <w:r>
        <w:rPr>
          <w:sz w:val="19"/>
        </w:rPr>
        <w:t>vanjski priključak za punjenje sa zaštitom od statičkog elektriciteta i sprječavanjem prelijevanja</w:t>
      </w:r>
    </w:p>
    <w:p>
      <w:pPr>
        <w:pStyle w:val="ListBullet"/>
        <w:spacing w:after="40"/>
      </w:pPr>
      <w:r>
        <w:rPr>
          <w:sz w:val="19"/>
        </w:rPr>
        <w:t>odušna cijev izvan kontejnera, sa plamenobranom, udaljena ≥3 m od izduva i usisa zraka</w:t>
      </w:r>
    </w:p>
    <w:p>
      <w:pPr>
        <w:pStyle w:val="ListBullet"/>
        <w:spacing w:after="40"/>
      </w:pPr>
      <w:r>
        <w:rPr>
          <w:sz w:val="19"/>
        </w:rPr>
        <w:t>protupožarni ventil na izlazu iz spremnika (topljivi osigurač ili solenoid), aktiviran požarom i E-STOP-om</w:t>
      </w:r>
    </w:p>
    <w:p>
      <w:pPr>
        <w:pStyle w:val="ListBullet"/>
        <w:spacing w:after="40"/>
      </w:pPr>
      <w:r>
        <w:rPr>
          <w:sz w:val="19"/>
        </w:rPr>
        <w:t>sifon protiv povratnog toka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64000" cy="266033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nk_sid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26603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i/>
                <w:sz w:val="17"/>
              </w:rPr>
              <w:t>Slika 3 — Spremnik goriva 500 l, bočni izgled (ilustrativno)</w:t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96000" cy="202951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nk_top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6000" cy="2029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i/>
                <w:sz w:val="17"/>
              </w:rPr>
              <w:t>Slika 4 — Spremnik goriva 500 l, pogled od vrha (ilustrativno)</w:t>
            </w:r>
          </w:p>
        </w:tc>
      </w:tr>
    </w:tbl>
    <w:p/>
    <w:p>
      <w:pPr>
        <w:pStyle w:val="Heading2"/>
      </w:pPr>
      <w:r>
        <w:t>4.3 Ventilacija i hlađenje</w:t>
      </w:r>
    </w:p>
    <w:p>
      <w:pPr>
        <w:spacing w:after="80"/>
      </w:pPr>
      <w:r>
        <w:rPr>
          <w:b w:val="0"/>
          <w:i/>
          <w:sz w:val="18"/>
        </w:rPr>
        <w:t>Dimenzionisano prema tehničkom listu proizvođača. Mjerodavno ograničenje je maksimalni vanjski otpor strujanju zraka od 125 Pa, a NE brzina izmjene zraka u prostoriji.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608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b/>
                <w:sz w:val="17"/>
              </w:rPr>
              <w:t>Vrijednost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Zrak hladnjaka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1980 m³/h (33 m³/min) — ostvaruje vlastiti ventilator hladnjaka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Zrak za sagorijevanje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90 m³/h; max. otpor usisa 3 kPa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Maks. vanjski otpor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125 Pa (ukupno: usis + kanal + izlaz)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Toplota u prostor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7,1 kW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Usisna žaluzina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500 × 700 mm (v ≈ 3,4 m/s, Δp ≈ 16 Pa)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Kanal hladnjaka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limeni kanal ≈6 m², od pocinčanog lima d = 1 mm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Izlazna žaluzina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600 × 600 mm (Δp ≈ 15 Pa)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Ventilator prostora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1200 m³/h, Ø315, vođen termostatom i kontrolerom DEA, blokiran sa radom DEA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Provjera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Izvođač dostavlja proračun pada pritiska ukupne putanje</w:t>
            </w:r>
          </w:p>
        </w:tc>
      </w:tr>
    </w:tbl>
    <w:p/>
    <w:p>
      <w:pPr>
        <w:spacing w:after="80"/>
      </w:pPr>
      <w:r>
        <w:rPr>
          <w:b/>
          <w:i w:val="0"/>
          <w:sz w:val="19"/>
        </w:rPr>
        <w:t>Raspored otvora (prema crtežu M-01, Prilog III)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3175"/>
            <w:shd w:fill="F2F2F2"/>
          </w:tcPr>
          <w:p>
            <w:r/>
            <w:r>
              <w:rPr>
                <w:b/>
                <w:sz w:val="17"/>
              </w:rPr>
              <w:t>Element</w:t>
            </w:r>
          </w:p>
        </w:tc>
        <w:tc>
          <w:tcPr>
            <w:tcW w:type="dxa" w:w="6236"/>
            <w:shd w:fill="F2F2F2"/>
          </w:tcPr>
          <w:p>
            <w:r/>
            <w:r>
              <w:rPr>
                <w:b/>
                <w:sz w:val="17"/>
              </w:rPr>
              <w:t>Zid i položaj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7"/>
              </w:rPr>
              <w:t>Usisna žaluzina 500 × 700</w:t>
            </w:r>
          </w:p>
        </w:tc>
        <w:tc>
          <w:tcPr>
            <w:tcW w:type="dxa" w:w="6236"/>
          </w:tcPr>
          <w:p>
            <w:r/>
            <w:r>
              <w:rPr>
                <w:sz w:val="17"/>
              </w:rPr>
              <w:t>JUŽNI zid, desno; donja ivica +0,30 m od poda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7"/>
              </w:rPr>
              <w:t>Kanal hladnjaka + izlazna žaluzina 600 × 600</w:t>
            </w:r>
          </w:p>
        </w:tc>
        <w:tc>
          <w:tcPr>
            <w:tcW w:type="dxa" w:w="6236"/>
          </w:tcPr>
          <w:p>
            <w:r/>
            <w:r>
              <w:rPr>
                <w:sz w:val="17"/>
              </w:rPr>
              <w:t>ZAPADNI zid, na osi hladnjaka agregata; kanal najkraćim putem od hladnjaka agregata kroz kontejner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7"/>
              </w:rPr>
              <w:t>Izduv</w:t>
            </w:r>
          </w:p>
        </w:tc>
        <w:tc>
          <w:tcPr>
            <w:tcW w:type="dxa" w:w="6236"/>
          </w:tcPr>
          <w:p>
            <w:r/>
            <w:r>
              <w:rPr>
                <w:sz w:val="17"/>
              </w:rPr>
              <w:t>uz ZAPADNI zid, završetak iznad krova (Tačka 4.4)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7"/>
              </w:rPr>
              <w:t>Odušna cijev spremnika</w:t>
            </w:r>
          </w:p>
        </w:tc>
        <w:tc>
          <w:tcPr>
            <w:tcW w:type="dxa" w:w="6236"/>
          </w:tcPr>
          <w:p>
            <w:r/>
            <w:r>
              <w:rPr>
                <w:sz w:val="17"/>
              </w:rPr>
              <w:t>SJEVERNI zid, prema istoku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7"/>
              </w:rPr>
              <w:t>Ventilator prostora Ø315</w:t>
            </w:r>
          </w:p>
        </w:tc>
        <w:tc>
          <w:tcPr>
            <w:tcW w:type="dxa" w:w="6236"/>
          </w:tcPr>
          <w:p>
            <w:r/>
            <w:r>
              <w:rPr>
                <w:sz w:val="17"/>
              </w:rPr>
              <w:t>ISTOČNI zid, gore (donja ivica ≈+1,75 m), sjeverno od ulaznih vrata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7"/>
              </w:rPr>
              <w:t>Minimalna razdaljina</w:t>
            </w:r>
          </w:p>
        </w:tc>
        <w:tc>
          <w:tcPr>
            <w:tcW w:type="dxa" w:w="6236"/>
          </w:tcPr>
          <w:p>
            <w:r/>
            <w:r>
              <w:rPr>
                <w:sz w:val="17"/>
              </w:rPr>
              <w:t>≥3 m prostorno između usisa zraka, izduva i odušne cijevi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3924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yout_m0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39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i/>
                <w:sz w:val="17"/>
              </w:rPr>
              <w:t>Slika 5 — Raspored opreme i otvora u kontejneru: (usis JUG → agregat → izlaz ZAPAD). Crteža M-01, Prilog III</w:t>
            </w:r>
          </w:p>
        </w:tc>
      </w:tr>
    </w:tbl>
    <w:p/>
    <w:p>
      <w:pPr>
        <w:spacing w:before="80" w:after="120"/>
        <w:shd w:fill="FCEEDD"/>
        <w:pBdr>
          <w:left w:val="single" w:sz="18" w:space="4" w:color="F5821F"/>
        </w:pBdr>
        <w:ind w:left="160"/>
      </w:pPr>
      <w:r>
        <w:rPr>
          <w:b/>
          <w:sz w:val="19"/>
        </w:rPr>
        <w:t>Otvori se izvode kroz ZIDNE PANELE kontejnera,Raspored je ukrsni (usis JUG → agregat → izlaz ZAPAD) i obavezujući: nije dozvoljeno izvesti usis, izlaz i izduv na istom zidu, niti usmjeriti izlaz toplog zraka ili izduv prema SJEVERNOJ strani, gdje se nalaze postojeći vanjski ormari ICC330-H1 i MTS9302. Dozvoljava se promjena rasporeda otvora, uz proračun recirkulacije i temperaturnog uticaja i saglasnost NO Kupca.</w:t>
      </w:r>
    </w:p>
    <w:p>
      <w:pPr>
        <w:pStyle w:val="Heading2"/>
      </w:pPr>
      <w:r>
        <w:t>4.4 Izduvni sistem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608"/>
            <w:shd w:fill="F2F2F2"/>
          </w:tcPr>
          <w:p>
            <w:r/>
            <w:r>
              <w:rPr>
                <w:b/>
                <w:sz w:val="17"/>
              </w:rPr>
              <w:t>Parametar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b/>
                <w:sz w:val="17"/>
              </w:rPr>
              <w:t>Vrijednost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Protok izduvnih gasova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234 m³/h (3,9 m³/min) pri 505 °C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Maks. dozvoljeni protutlak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10,2 kPa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Prečnik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DN 65 — USVOJENO (Predmjer, stavka 4.11). DN 50 zadovoljava protutlak (≈2,6 kPa prema granici 10,2 kPa), ali radi pri 33 m/s, iznad uobičajenih 30 m/s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Prigušivač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industrijski; hvatač iskri obavezan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Fleksibilni priključak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neposredno iza motora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Izolacija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kamena vuna d = 50 mm + Al lim; boja otporna na 600 °C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Trasa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uspon uz ZAPADNI zid kontejnera (v. Tačku 4.3 i crtež M-01)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Završetak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iznad krova, usmjeren naviše, ≥3 m od usisa zraka i odušne cijevi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Provjera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Ponuđač dostavlja proračun protutlaka</w:t>
            </w:r>
          </w:p>
        </w:tc>
      </w:tr>
    </w:tbl>
    <w:p/>
    <w:p>
      <w:pPr>
        <w:pStyle w:val="Heading2"/>
      </w:pPr>
      <w:r>
        <w:t>4.5 Elektroinstalacije i zaštite</w:t>
      </w:r>
    </w:p>
    <w:p>
      <w:pPr>
        <w:spacing w:before="80" w:after="120"/>
        <w:shd w:fill="FCEEDD"/>
        <w:pBdr>
          <w:left w:val="single" w:sz="18" w:space="4" w:color="F5821F"/>
        </w:pBdr>
        <w:ind w:left="160"/>
      </w:pPr>
      <w:r>
        <w:rPr>
          <w:b/>
          <w:sz w:val="19"/>
        </w:rPr>
        <w:t>Zahtijeva se NEZAVISNA POBUDA generatora (PMG ili AREP/AUX) sa 3 × In u trajanju ≥10 s (Tačka 4.1), kao i zaštita ZS sklopkom kao drugi nivo zaštite.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2608"/>
            <w:shd w:fill="F2F2F2"/>
          </w:tcPr>
          <w:p>
            <w:r/>
            <w:r>
              <w:rPr>
                <w:b/>
                <w:sz w:val="17"/>
              </w:rPr>
              <w:t>Element</w:t>
            </w:r>
          </w:p>
        </w:tc>
        <w:tc>
          <w:tcPr>
            <w:tcW w:type="dxa" w:w="6803"/>
            <w:shd w:fill="F2F2F2"/>
          </w:tcPr>
          <w:p>
            <w:r/>
            <w:r>
              <w:rPr>
                <w:b/>
                <w:sz w:val="17"/>
              </w:rPr>
              <w:t>Zahtjev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Struja kvara (SHUNT)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prvi poluperiod 407 A (12,8 × In, X"d = 0,078) → prelazna 205 A (6,5 × In) → TRAJNA 16 A (0,5 × In, Xd = 1,938) — ne aktivira zaštitu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Struja kvara (PMG/AREP)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≥95 A (3 × In) trajno ≥10 s — ZAHTIJEVANO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Sistem uzemljenja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TN-S, jedinstvena tačka spajanja N i PE u novom GRO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Glavna zaštita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4p RCD 63 A / 300 mA, S-tip (selektivna)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Krajnji strujni krugovi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2 × RCBO 16 A / 30 mA, tip A (utičnice, rasvjeta)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Nazivna struja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In = 31,75 A pri 22 kVA / 400 V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Sklopka izvora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4p 63 A, položaji 1 – agregat / 0 – isključeno / 2 – rezerva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SPD, AC strana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tip 1 + 2 (Iimp ≥12,5 kA) — objekat ima vanjski LPS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SPD, DC strana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tip 2 po stringu (Iimp ≥5 kA, Ucpv ≥425 V), na PVDB i na polju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SPD, signalni vodovi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prema EN 61643-21 — OBAVEZNO (stub h = 38 m)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Postojeći strujni krugovi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snimiti stanje i prevezati svih 7 postojećih krugova u novi GRO; signalna rasvjeta antenskog stuba (K7) na zasebnom nadziranom krugu, sa signalizacijom ispada u sistem daljinskog nadzora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AC kablovi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bezhalogeni, CPR ≥ Cca-s1b,d1,a1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DC kablovi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H1Z2Z2-K 6 mm²; priključak na iSSU presjekom 4 mm²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7"/>
              </w:rPr>
              <w:t>Otpor uzemljenja</w:t>
            </w:r>
          </w:p>
        </w:tc>
        <w:tc>
          <w:tcPr>
            <w:tcW w:type="dxa" w:w="6803"/>
          </w:tcPr>
          <w:p>
            <w:r/>
            <w:r>
              <w:rPr>
                <w:sz w:val="17"/>
              </w:rPr>
              <w:t>≤10 Ω</w:t>
            </w:r>
          </w:p>
        </w:tc>
      </w:tr>
    </w:tbl>
    <w:p/>
    <w:p>
      <w:pPr>
        <w:pStyle w:val="Heading2"/>
      </w:pPr>
      <w:r>
        <w:t>4.6 Parametriranje upravljanja i nadzora radom DEA &lt;--&gt; PV + Baterija</w:t>
      </w:r>
    </w:p>
    <w:p>
      <w:pPr>
        <w:pStyle w:val="ListBullet"/>
        <w:spacing w:after="40"/>
      </w:pPr>
      <w:r>
        <w:rPr>
          <w:sz w:val="19"/>
        </w:rPr>
        <w:t>start agregata prema stanju napunjenosti baterija (SoC), a ne prema ispadu mreže — lokacija nije priključena na EES</w:t>
      </w:r>
    </w:p>
    <w:p>
      <w:pPr>
        <w:pStyle w:val="ListBullet"/>
        <w:spacing w:after="40"/>
      </w:pPr>
      <w:r>
        <w:rPr>
          <w:sz w:val="19"/>
        </w:rPr>
        <w:t>ograničenje ulazne snage ispravljača radi sprječavanja preopterećenja agregata</w:t>
      </w:r>
    </w:p>
    <w:p>
      <w:pPr>
        <w:pStyle w:val="ListBullet"/>
        <w:spacing w:after="40"/>
      </w:pPr>
      <w:r>
        <w:rPr>
          <w:sz w:val="19"/>
        </w:rPr>
        <w:t>prijenos alarma u sistem daljinskog nadzora: rad agregata, kvar, nivo goriva, curenje goriva, požar, temperatura prostora</w:t>
      </w:r>
    </w:p>
    <w:p>
      <w:pPr>
        <w:pStyle w:val="ListBullet"/>
        <w:spacing w:after="40"/>
      </w:pPr>
      <w:r>
        <w:rPr>
          <w:sz w:val="19"/>
        </w:rPr>
        <w:t>komunikacioni modul kompatibilan sa postojećim sistemom napajanja</w:t>
      </w:r>
    </w:p>
    <w:p>
      <w:pPr>
        <w:pStyle w:val="Heading2"/>
      </w:pPr>
      <w:r>
        <w:t>4.7 Zaštita od požara (OBAVEZNO)</w:t>
      </w:r>
    </w:p>
    <w:p>
      <w:pPr>
        <w:pStyle w:val="ListBullet"/>
        <w:spacing w:after="40"/>
      </w:pPr>
      <w:r>
        <w:rPr>
          <w:sz w:val="19"/>
        </w:rPr>
        <w:t>elaborat zaštite od požara za prostor sa 500 l dizel goriva — prije izvođenja</w:t>
      </w:r>
    </w:p>
    <w:p>
      <w:pPr>
        <w:pStyle w:val="ListBullet"/>
        <w:spacing w:after="40"/>
      </w:pPr>
      <w:r>
        <w:rPr>
          <w:sz w:val="19"/>
        </w:rPr>
        <w:t>detekcija: dimni i termički detektori; detekcija CO i NO₂</w:t>
      </w:r>
    </w:p>
    <w:p>
      <w:pPr>
        <w:pStyle w:val="ListBullet"/>
        <w:spacing w:after="40"/>
      </w:pPr>
      <w:r>
        <w:rPr>
          <w:sz w:val="19"/>
        </w:rPr>
        <w:t>automatsko gašenje sredstvom za klasu B, sa blokadom ventilacije pri aktivaciji</w:t>
      </w:r>
    </w:p>
    <w:p>
      <w:pPr>
        <w:pStyle w:val="ListBullet"/>
        <w:spacing w:after="40"/>
      </w:pPr>
      <w:r>
        <w:rPr>
          <w:sz w:val="19"/>
        </w:rPr>
        <w:t>protupožarni ventil na izlazu iz spremnika</w:t>
      </w:r>
    </w:p>
    <w:p>
      <w:pPr>
        <w:pStyle w:val="ListBullet"/>
        <w:spacing w:after="40"/>
      </w:pPr>
      <w:r>
        <w:rPr>
          <w:sz w:val="19"/>
        </w:rPr>
        <w:t>E-STOP izvan kontejnera pored ulaznih vrata, prema ISO 13850 kategorija 0</w:t>
      </w:r>
    </w:p>
    <w:p>
      <w:pPr>
        <w:pStyle w:val="ListBullet"/>
        <w:spacing w:after="40"/>
      </w:pPr>
      <w:r>
        <w:rPr>
          <w:sz w:val="19"/>
        </w:rPr>
        <w:t>oznake opasnosti, zabrana pušenja, oznaka kapaciteta goriva</w:t>
      </w:r>
    </w:p>
    <w:p>
      <w:pPr>
        <w:pStyle w:val="ListBullet"/>
        <w:spacing w:after="40"/>
      </w:pPr>
      <w:r>
        <w:rPr>
          <w:sz w:val="19"/>
        </w:rPr>
        <w:t>najmanje dva aparata za gašenje odgovarajuće klase</w:t>
      </w:r>
    </w:p>
    <w:p>
      <w:pPr>
        <w:spacing w:after="80"/>
      </w:pPr>
      <w:r>
        <w:rPr>
          <w:b w:val="0"/>
          <w:i/>
          <w:sz w:val="18"/>
        </w:rPr>
        <w:t>Elaborat zaštite od požara, protupožarni ventil na spremniku i blokada ventilacije pri aktivaciji gašenja zasebno su iskazani u Predmjeru (Prilog II, LOT 2) i ulaze u cijenu ponude.</w:t>
      </w:r>
    </w:p>
    <w:p>
      <w:pPr>
        <w:pStyle w:val="Heading1"/>
      </w:pPr>
      <w:r>
        <w:t>5. Dokazi koji se dostavljaju uz ponudu: oznaka PONUDA</w:t>
      </w:r>
    </w:p>
    <w:p>
      <w:pPr>
        <w:spacing w:before="80" w:after="120"/>
        <w:shd w:fill="FCEEDD"/>
        <w:pBdr>
          <w:left w:val="single" w:sz="18" w:space="4" w:color="F5821F"/>
        </w:pBdr>
        <w:ind w:left="160"/>
      </w:pPr>
      <w:r>
        <w:rPr>
          <w:b/>
          <w:sz w:val="19"/>
        </w:rPr>
        <w:t>Dokazi koji se dostavljaju NO u toku realizacije: oznaka REALIZACIJA. Dokazi koji se dostavljaju NO tokom primopredaje: oznaka PRIMOPREDAJA.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567"/>
            <w:shd w:fill="F2F2F2"/>
          </w:tcPr>
          <w:p>
            <w:r/>
            <w:r>
              <w:rPr>
                <w:b/>
                <w:sz w:val="17"/>
              </w:rPr>
              <w:t>Br.</w:t>
            </w:r>
          </w:p>
        </w:tc>
        <w:tc>
          <w:tcPr>
            <w:tcW w:type="dxa" w:w="5896"/>
            <w:shd w:fill="F2F2F2"/>
          </w:tcPr>
          <w:p>
            <w:r/>
            <w:r>
              <w:rPr>
                <w:b/>
                <w:sz w:val="17"/>
              </w:rPr>
              <w:t>Dokaz</w:t>
            </w:r>
          </w:p>
        </w:tc>
        <w:tc>
          <w:tcPr>
            <w:tcW w:type="dxa" w:w="1020"/>
            <w:shd w:fill="F2F2F2"/>
          </w:tcPr>
          <w:p>
            <w:r/>
            <w:r>
              <w:rPr>
                <w:b/>
                <w:sz w:val="17"/>
              </w:rPr>
              <w:t>LOT</w:t>
            </w:r>
          </w:p>
        </w:tc>
        <w:tc>
          <w:tcPr>
            <w:tcW w:type="dxa" w:w="1928"/>
            <w:shd w:fill="F2F2F2"/>
          </w:tcPr>
          <w:p>
            <w:r/>
            <w:r>
              <w:rPr>
                <w:b/>
                <w:sz w:val="17"/>
              </w:rPr>
              <w:t>Status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5896"/>
          </w:tcPr>
          <w:p>
            <w:r/>
            <w:r>
              <w:rPr>
                <w:sz w:val="17"/>
              </w:rPr>
              <w:t>Statički proračun nosive konstrukcije i temelja za qp ≥ 1,20 kN/m² pri 45°, ovjeren i potpisan od ovlaštenog inženjera, sa dokazom na podizanje i prevrtanje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REALIZACIJA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5896"/>
          </w:tcPr>
          <w:p>
            <w:r/>
            <w:r>
              <w:rPr>
                <w:sz w:val="17"/>
              </w:rPr>
              <w:t>Tečnički nacrti konstrukcije i temelja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PONUDA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5896"/>
          </w:tcPr>
          <w:p>
            <w:r/>
            <w:r>
              <w:rPr>
                <w:sz w:val="17"/>
              </w:rPr>
              <w:t>Izjava o svojstvima prema EN 1090-1 i klasa izvedbe EXC2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REALIZACIJA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5896"/>
          </w:tcPr>
          <w:p>
            <w:r/>
            <w:r>
              <w:rPr>
                <w:sz w:val="17"/>
              </w:rPr>
              <w:t>Atesti materijala (čelik) i potvrda o vrućem cinčanju (debljina sloja)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REALIZACIJA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5896"/>
          </w:tcPr>
          <w:p>
            <w:r/>
            <w:r>
              <w:rPr>
                <w:sz w:val="17"/>
              </w:rPr>
              <w:t>ETA certifikat i proračun za hemijska sidra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REALIZACIJA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6</w:t>
            </w:r>
          </w:p>
        </w:tc>
        <w:tc>
          <w:tcPr>
            <w:tcW w:type="dxa" w:w="5896"/>
          </w:tcPr>
          <w:p>
            <w:r/>
            <w:r>
              <w:rPr>
                <w:sz w:val="17"/>
              </w:rPr>
              <w:t>Zapisnik o ispitivanju ankera na čupanje (min. 10 %)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PRIMOPREDAJA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5896"/>
          </w:tcPr>
          <w:p>
            <w:r/>
            <w:r>
              <w:rPr>
                <w:sz w:val="17"/>
              </w:rPr>
              <w:t>Tehnički list (TDS) agregata sa dokazom o PMG/AREP nezavisnoj pobudi (3 × In, ≥10 s)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PONUDA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5896"/>
          </w:tcPr>
          <w:p>
            <w:r/>
            <w:r>
              <w:rPr>
                <w:sz w:val="17"/>
              </w:rPr>
              <w:t>Proračun pada pritiska ventilacije i protutlaka izduvnog sistema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REALIZACIJA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9</w:t>
            </w:r>
          </w:p>
        </w:tc>
        <w:tc>
          <w:tcPr>
            <w:tcW w:type="dxa" w:w="5896"/>
          </w:tcPr>
          <w:p>
            <w:r/>
            <w:r>
              <w:rPr>
                <w:sz w:val="17"/>
              </w:rPr>
              <w:t>Elaborat zaštite od požara za prostor sa rezervoarom 500 l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REALIZACIJA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10</w:t>
            </w:r>
          </w:p>
        </w:tc>
        <w:tc>
          <w:tcPr>
            <w:tcW w:type="dxa" w:w="5896"/>
          </w:tcPr>
          <w:p>
            <w:r/>
            <w:r>
              <w:rPr>
                <w:sz w:val="17"/>
              </w:rPr>
              <w:t>Atesti i certifikati za elektro opremu, CPR kablove i prenaponsku zaštitu (SPD)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REALIZACIJA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5896"/>
          </w:tcPr>
          <w:p>
            <w:r/>
            <w:r>
              <w:rPr>
                <w:sz w:val="17"/>
              </w:rPr>
              <w:t>Ispitni protokoli elektroinstalacija i otpora uzemljenja (≤10 Ω)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PRIMOPREDAJA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5896"/>
          </w:tcPr>
          <w:p>
            <w:r/>
            <w:r>
              <w:rPr>
                <w:sz w:val="17"/>
              </w:rPr>
              <w:t>Protokol o parametriranju i funkcionalnom ispitivanju integracije DEA–PV–baterija</w:t>
            </w:r>
          </w:p>
        </w:tc>
        <w:tc>
          <w:tcPr>
            <w:tcW w:type="dxa" w:w="1020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1928"/>
          </w:tcPr>
          <w:p>
            <w:r/>
            <w:r>
              <w:rPr>
                <w:sz w:val="17"/>
              </w:rPr>
              <w:t>PRIMOPREDAJA</w:t>
            </w:r>
          </w:p>
        </w:tc>
      </w:tr>
    </w:tbl>
    <w:p/>
    <w:p>
      <w:pPr>
        <w:pStyle w:val="Heading1"/>
      </w:pPr>
      <w:r>
        <w:t>6. Ispitivanja i puštanje u rad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 w:val="true"/>
        </w:trPr>
        <w:tc>
          <w:tcPr>
            <w:tcW w:type="dxa" w:w="3402"/>
            <w:shd w:fill="F2F2F2"/>
          </w:tcPr>
          <w:p>
            <w:r/>
            <w:r>
              <w:rPr>
                <w:b/>
                <w:sz w:val="17"/>
              </w:rPr>
              <w:t>Ispitivanje</w:t>
            </w:r>
          </w:p>
        </w:tc>
        <w:tc>
          <w:tcPr>
            <w:tcW w:type="dxa" w:w="6009"/>
            <w:shd w:fill="F2F2F2"/>
          </w:tcPr>
          <w:p>
            <w:r/>
            <w:r>
              <w:rPr>
                <w:b/>
                <w:sz w:val="17"/>
              </w:rPr>
              <w:t>Kriterij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Otpor uzemljenja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≤10 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Kontinuitet zaštitnih vodiča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≤0,1 Ω po spoju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Ispitivanje čupanja ankera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≥10 % ankera, do 1,5 × projektne sile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Funkcionalno ispitivanje RCD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vrijeme i struja isključenja prema IEC 61008/61009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Ispitivanje ventilacije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izmjereni pad pritiska ≤125 Pa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Funkcionalno ispitivanje agregata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automatski start/stop, zaštite, alarmi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Probni rad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72 h neprekidnog rada sa simulacijom opterećenja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7"/>
              </w:rPr>
              <w:t>Mjerenje temperature prostora</w:t>
            </w:r>
          </w:p>
        </w:tc>
        <w:tc>
          <w:tcPr>
            <w:tcW w:type="dxa" w:w="6009"/>
          </w:tcPr>
          <w:p>
            <w:r/>
            <w:r>
              <w:rPr>
                <w:sz w:val="17"/>
              </w:rPr>
              <w:t>pri radu agregata na nazivnom opterećenju</w:t>
            </w:r>
          </w:p>
        </w:tc>
      </w:tr>
    </w:tbl>
    <w:p/>
    <w:p>
      <w:pPr>
        <w:pStyle w:val="Heading1"/>
      </w:pPr>
      <w:r>
        <w:t>7. Garancija</w:t>
      </w:r>
    </w:p>
    <w:p>
      <w:pPr>
        <w:pStyle w:val="ListBullet"/>
        <w:spacing w:after="40"/>
      </w:pPr>
      <w:r>
        <w:rPr>
          <w:sz w:val="19"/>
        </w:rPr>
        <w:t>garantni period minimalno 24 mjeseca od zapisnika o primopredaji bez primjedbi</w:t>
      </w:r>
    </w:p>
    <w:p>
      <w:pPr>
        <w:pStyle w:val="ListBullet"/>
        <w:spacing w:after="40"/>
      </w:pPr>
      <w:r>
        <w:rPr>
          <w:sz w:val="19"/>
        </w:rPr>
        <w:t>postgarantni period minimalno 5 godina</w:t>
      </w:r>
    </w:p>
    <w:p>
      <w:pPr>
        <w:pStyle w:val="ListBullet"/>
        <w:spacing w:after="40"/>
      </w:pPr>
      <w:r>
        <w:rPr>
          <w:sz w:val="19"/>
        </w:rPr>
        <w:t>spisak preporučenih rezervnih dijelova za 500 h rada agregata</w:t>
      </w:r>
    </w:p>
    <w:p>
      <w:pPr>
        <w:pStyle w:val="ListBullet"/>
        <w:spacing w:after="40"/>
      </w:pPr>
      <w:r>
        <w:rPr>
          <w:sz w:val="19"/>
        </w:rPr>
        <w:t>dokumentacija izvedenog stanja i uputstva za pogon i održavanje</w:t>
      </w:r>
    </w:p>
    <w:p/>
    <w:p>
      <w:pPr>
        <w:jc w:val="right"/>
      </w:pPr>
      <w:r>
        <w:rPr>
          <w:sz w:val="18"/>
        </w:rPr>
        <w:t>Autor: Rusmir Skopljak, dipl. ing. el.</w:t>
        <w:br/>
        <w:t>Izvršna direkcija za tehnologiju i razvoj servisa</w:t>
        <w:br/>
        <w:t>BH Telecom d.d. Sarajevo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20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5"/>
      </w:rPr>
      <w:t xml:space="preserve">PRILOG I — Specifikacija zahtjeva · BS Sjednica (Bileća) · Rev. 1, 2026 · stranica </w:t>
    </w:r>
    <w:r>
      <w:rPr>
        <w:color w:val="595959"/>
        <w:sz w:val="15"/>
      </w:rPr>
      <w:fldChar w:fldCharType="begin"/>
    </w:r>
    <w:r>
      <w:rPr>
        <w:color w:val="595959"/>
        <w:sz w:val="15"/>
      </w:rPr>
      <w:instrText xml:space="preserve">PAGE</w:instrText>
    </w:r>
    <w:r>
      <w:rPr>
        <w:color w:val="595959"/>
        <w:sz w:val="15"/>
      </w:rPr>
      <w:fldChar w:fldCharType="end"/>
    </w:r>
    <w:r>
      <w:rPr>
        <w:color w:val="595959"/>
        <w:sz w:val="15"/>
      </w:rPr>
      <w:t xml:space="preserve"> od </w:t>
    </w:r>
    <w:r>
      <w:rPr>
        <w:color w:val="595959"/>
        <w:sz w:val="15"/>
      </w:rPr>
      <w:fldChar w:fldCharType="begin"/>
    </w:r>
    <w:r>
      <w:rPr>
        <w:color w:val="595959"/>
        <w:sz w:val="15"/>
      </w:rPr>
      <w:instrText xml:space="preserve">NUMPAGES</w:instrText>
    </w:r>
    <w:r>
      <w:rPr>
        <w:color w:val="595959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2592000" cy="55226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ht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92000" cy="55226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F5821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59595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595959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/>
      <w:contextualSpacing/>
      <w:jc w:val="center"/>
    </w:pPr>
    <w:rPr>
      <w:rFonts w:asciiTheme="majorHAnsi" w:eastAsiaTheme="majorEastAsia" w:hAnsiTheme="majorHAnsi" w:cstheme="majorBidi" w:ascii="Arial" w:hAnsi="Arial"/>
      <w:b/>
      <w:color w:val="F5821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80"/>
      <w:jc w:val="center"/>
    </w:pPr>
    <w:rPr>
      <w:rFonts w:asciiTheme="majorHAnsi" w:eastAsiaTheme="majorEastAsia" w:hAnsiTheme="majorHAnsi" w:cstheme="majorBidi" w:ascii="Arial" w:hAnsi="Arial"/>
      <w:b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