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PRILOG I TENDERSKOJ DOKUMENTACIJI</w:t>
      </w:r>
    </w:p>
    <w:p>
      <w:pPr>
        <w:pStyle w:val="Subtitle"/>
      </w:pPr>
      <w:r>
        <w:t>SPECIFIKACIJA ZAHTJEVA</w:t>
      </w:r>
    </w:p>
    <w:p>
      <w:pPr>
        <w:jc w:val="center"/>
      </w:pPr>
      <w:r>
        <w:rPr>
          <w:color w:val="595959"/>
          <w:sz w:val="20"/>
        </w:rPr>
        <w:t>Autonomni hibridni sistem napajanja — bazna stanica SJEDNICA (Bileća)</w:t>
        <w:br/>
        <w:t>LOT 1: nosači fotonaponskih panela · LOT 2: dizel električni agregat u kontejneru</w:t>
      </w:r>
    </w:p>
    <w:p/>
    <w:p>
      <w:pPr>
        <w:spacing w:after="80"/>
      </w:pPr>
      <w:r>
        <w:rPr>
          <w:b w:val="0"/>
          <w:i w:val="0"/>
          <w:sz w:val="19"/>
        </w:rPr>
        <w:t>Ovaj Prilog utvrđuje tehničke zahtjeve i dokaze koje Ponuđač dostavlja UZ PONUDU. Zahtjevi označeni kao OBAVEZNI predstavljaju uslov kvalifikacije — ponuda koja ih ne sadrži smatra se neprihvatljivom. Prilog se čita zajedno sa Prilogom II (Obrazac za cijenu ponude) i Prilogom III (Situacija, dispozicija i grafički prilozi).</w:t>
      </w:r>
    </w:p>
    <w:p>
      <w:pPr>
        <w:pStyle w:val="Heading1"/>
      </w:pPr>
      <w:r>
        <w:t>0. Napomena o ispravkama u odnosu na raniju verziju</w:t>
      </w:r>
    </w:p>
    <w:p>
      <w:pPr>
        <w:spacing w:after="80"/>
      </w:pPr>
      <w:r>
        <w:rPr>
          <w:b w:val="0"/>
          <w:i w:val="0"/>
          <w:sz w:val="19"/>
        </w:rPr>
        <w:t>Sljedeće vrijednosti su ispravljene u odnosu na ranije radne verzije tehničkog opisa. Ispravke su zasnovane na ovjerenom projektu lokacije, tehničkim listovima proizvođača i mjerenjima na licu mjesta.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814"/>
            <w:shd w:fill="F2F2F2"/>
          </w:tcPr>
          <w:p>
            <w:r/>
            <w:r>
              <w:rPr>
                <w:b/>
                <w:sz w:val="17"/>
              </w:rPr>
              <w:t>Stavka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b/>
                <w:sz w:val="17"/>
              </w:rPr>
              <w:t>Ranije navedeno</w:t>
            </w:r>
          </w:p>
        </w:tc>
        <w:tc>
          <w:tcPr>
            <w:tcW w:type="dxa" w:w="2494"/>
            <w:shd w:fill="F2F2F2"/>
          </w:tcPr>
          <w:p>
            <w:r/>
            <w:r>
              <w:rPr>
                <w:b/>
                <w:sz w:val="17"/>
              </w:rPr>
              <w:t>Ispravno (mjerodavno)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b/>
                <w:sz w:val="17"/>
              </w:rPr>
              <w:t>Izvor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Geometrija PV polja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projekcija 2590 mm, gornja ivica +3,09 m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projekcija 3236 mm, gornja ivica +3,74 m (v. red niže — sada +4,74 m uz 3×4 konfiguraciju)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Huawei PVM Tab. 4-20; izvedeno iz polja modula, a ne iz uzdužne grede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Visina ograde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1,80 m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1,90 m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ovjereni projekat lokacije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Kontejner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3,08 × 2,20 × 2,80 m / 3,00 × 2,10 m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3,005 × 2,30 m vanjski, zid 60 mm, PRAZAN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ovjereni projekat (unutra 6,29 m², obim 10,13 m)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Zrak hladnjaka DEA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≈4250 m³/h (procjena)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1980 m³/h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FG Wilson P22-6 TDS, 2019-08-14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Usisna žaluzina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≥0,43 m² (1200 × 800 mm)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500 × 700 mm zadovoljava (Δp≈16 Pa)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proračun prema max. vanjskom otporu 125 Pa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Ventilator prostora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≥2400 m³/h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1200 m³/h (dopunska ventilacija)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hlađenje ostvaruje vlastiti ventilator hladnjaka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Izduv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DN 65 minimum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DN 50 zadovoljava; DN 65 preporučeno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protutlak ≈2,6 kPa pri granici 10,2 kPa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Donja ivica panela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≥1,20 m zbog snijega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+0,50 m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snijeg nije mjerodavan — vjetrom raznošena lokacija (bura)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Snijeg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s_k = 3,00 kN/m² mjerodavno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provjera obavezna, ali nije mjerodavna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iskustvo Investitora na lokaciji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Konfiguracija nosača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 nosača, 6 modula (2×3), +0,50/+3,74 m, 15,91 m² izloženosti/nosaču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3 nosača, 4 modula (2×2), +1,50/+4,74 m, 10,55 m² izloženosti/nosaču — manji presjek dozvoljava veću visinu bez povećanja opterećenja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review/07-calculations.md F.6 — custom izrada, kataloški nosač ne zadovoljava ni pri ranijoj ni pri ovoj konfiguraciji</w:t>
            </w:r>
          </w:p>
        </w:tc>
      </w:tr>
    </w:tbl>
    <w:p/>
    <w:p>
      <w:pPr>
        <w:pStyle w:val="Heading1"/>
      </w:pPr>
      <w:r>
        <w:t>1. Osnovni podaci o lokaciji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576"/>
            <w:shd w:fill="F2F2F2"/>
          </w:tcPr>
          <w:p>
            <w:r/>
            <w:r>
              <w:rPr>
                <w:b/>
                <w:sz w:val="17"/>
              </w:rPr>
              <w:t>Vrijednost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Lokacija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BS Sjednica, Bileća, Republika Srpska, BiH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Koordinate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42,9448° N · 18,3236° 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Nadmorska visina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1076 m n.v.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Priključak na EES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NE — lokacija nije priključena na elektroenergetsku mrežu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Potrošnja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1180 W nazivno / 1330 W maksimalno, −48 V DC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Zakupljena parcela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≈150 m² (16,00 × 9,40 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Postojeći plato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AB ploča 5,40 × 5,40 m, ograda h = 1,90 m, kapija 1,00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Antenski stub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rešetkasti, h = 38 m, baza 4,20 × 4,20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Kontejner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3,005 × 2,30 m vanjski, zidni paneli 60 mm, PRAZAN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Uzemljenje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postojeći prstenasti uzemljivač Fe/Zn 25 × 4 mm</w:t>
            </w:r>
          </w:p>
        </w:tc>
      </w:tr>
    </w:tbl>
    <w:p/>
    <w:p>
      <w:pPr>
        <w:pStyle w:val="Heading2"/>
      </w:pPr>
      <w:r>
        <w:t>1.1 Klimatski i geotehnički uslovi (MJERODAVNO)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F2F2F2"/>
          </w:tcPr>
          <w:p>
            <w:r/>
            <w:r>
              <w:rPr>
                <w:b/>
                <w:sz w:val="17"/>
              </w:rPr>
              <w:t>Uticaj</w:t>
            </w:r>
          </w:p>
        </w:tc>
        <w:tc>
          <w:tcPr>
            <w:tcW w:type="dxa" w:w="3061"/>
            <w:shd w:fill="F2F2F2"/>
          </w:tcPr>
          <w:p>
            <w:r/>
            <w:r>
              <w:rPr>
                <w:b/>
                <w:sz w:val="17"/>
              </w:rPr>
              <w:t>Projektna vrijednost</w:t>
            </w:r>
          </w:p>
        </w:tc>
        <w:tc>
          <w:tcPr>
            <w:tcW w:type="dxa" w:w="4649"/>
            <w:shd w:fill="F2F2F2"/>
          </w:tcPr>
          <w:p>
            <w:r/>
            <w:r>
              <w:rPr>
                <w:b/>
                <w:sz w:val="17"/>
              </w:rPr>
              <w:t>Napomena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Vjetar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qp ≥ 1,20 kN/m² (udar 3 s ≈ 45 m/s)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ovjereni projekat lokacije i BAS EN 1991-1-4 + BiH NA, sa orografijom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Snijeg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prema BAS EN 1991-1-3 + BiH NA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provjera obavezna; nije mjerodavan zbog raznošenja vjetrom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Led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radijalni 20 mm, gustina 300 kg/m³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izloženi planinski vrh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Temperatura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−25 °C do +50 °C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radni opseg opreme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Gustina zraka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1,04–1,09 kg/m³ na 1076 m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derating agregata i dimenzionisanje ventilacije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Tlo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kamenito (krš); nosivost ≥100 kPa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Ponuđač potvrđuje geomehaničkim uvidom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Smrzavanje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temeljna spojnica ispod dubine smrzavanja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Ponuđač navodi usvojenu dubinu</w:t>
            </w:r>
          </w:p>
        </w:tc>
      </w:tr>
    </w:tbl>
    <w:p/>
    <w:p>
      <w:pPr>
        <w:pStyle w:val="Heading1"/>
      </w:pPr>
      <w:r>
        <w:t>2. Referentni standardi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shd w:fill="F2F2F2"/>
          </w:tcPr>
          <w:p>
            <w:r/>
            <w:r>
              <w:rPr>
                <w:b/>
                <w:sz w:val="17"/>
              </w:rPr>
              <w:t>Oblast</w:t>
            </w:r>
          </w:p>
        </w:tc>
        <w:tc>
          <w:tcPr>
            <w:tcW w:type="dxa" w:w="6917"/>
            <w:shd w:fill="F2F2F2"/>
          </w:tcPr>
          <w:p>
            <w:r/>
            <w:r>
              <w:rPr>
                <w:b/>
                <w:sz w:val="17"/>
              </w:rPr>
              <w:t>Standardi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Osnove proračuna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BAS EN 1990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Dejstva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BAS EN 1991-1-3 (snijeg), BAS EN 1991-1-4 (vjetar), sa BiH NA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Beton i čelik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BAS EN 1992-1-1, BAS EN 1993-1-1, BAS EN 206, EN 10025-2, EN 10219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Geotehnika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BAS EN 1997-1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Izrada čeličnih konstrukcija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EN 1090-1, EN 1090-2 (EXC2)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Antikorozivna zaštita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EN ISO 1461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Elektroinstalacije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IEC 60364 (posebno 60364-4-41), BAS EN 60529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Gromobranska zaštita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EN 62305-1 do -4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Prenaponska zaštita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EN 61643-11, EN 61643-21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Fotonaponski sistemi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IEC 62548, IEC 62852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Agregati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ISO 8528-1, ISO 8528-3, ISO 3046-1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Zaštita od požara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važeći propisi RS/BiH; elaborat zaštite od požara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Dokumentacija proizvođača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Huawei PV Module Solution User Manual; Huawei GroundSupport; FG Wilson P22-6 (Skid) TDS 2019-08-14</w:t>
            </w:r>
          </w:p>
        </w:tc>
      </w:tr>
    </w:tbl>
    <w:p/>
    <w:p>
      <w:pPr>
        <w:pStyle w:val="Heading1"/>
      </w:pPr>
      <w:r>
        <w:t>3. LOT 1 — Nosači fotonaponskih panela</w:t>
      </w:r>
    </w:p>
    <w:p>
      <w:pPr>
        <w:pStyle w:val="Heading2"/>
      </w:pPr>
      <w:r>
        <w:t>3.1 Konfiguracija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576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Broj nosača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3 kom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Moduli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12 × 585 Wp = 7,02 kWp; 4 modula po nosaču, 2 reda × 2 stupca, portret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Tip modula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Huawei iPV585-M2A (2278 × 1134 × 30 mm) ili ekvivalent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Nagib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fiksno 45° — ZADRŽAN zbog decembarskog prinosa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Azimut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180° (JUG)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Širina polja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2305 mm (poprečna greda 2918 mm, bočni prepust 306,5 mm)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Dužina polja po nagibu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4576 mm (2 × 2278 mm)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Horizontalna projekcija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3236 mm pri 45°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Donja / gornja ivica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+1,50 m / +4,74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Nadvišenje ograde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2,84 m iznad kote ograde h = 1,90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Površina izloženosti vjetru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10,55 m² po nosaču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Referentna izvedba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CUSTOM IZRADA čeličnog nosača po opterećenju iz Tačke 3.2 — nijedan kataloški proizvod (npr. Huawei Standard A-shaped Support 3.0) ne zadovoljava opterećenje vjetrom na ovoj lokaciji ni pri ovoj, manjoj površini nosača</w:t>
            </w:r>
          </w:p>
        </w:tc>
      </w:tr>
    </w:tbl>
    <w:p/>
    <w:p>
      <w:pPr>
        <w:spacing w:after="80"/>
      </w:pPr>
      <w:r>
        <w:rPr>
          <w:b w:val="0"/>
          <w:i/>
          <w:sz w:val="18"/>
        </w:rPr>
        <w:t>Obrazloženje nagiba 45°: pri podnevnoj visini Sunca 23,6° na dan 21.12. i geografskoj širini 42,94°, nagib 45° ostvaruje 93 % direktnog zračenja, naspram 85 % pri 35° i 75 % pri 25°. Decembar je mjerodavni mjesec za dimenzionisanje autonomnog sistema (proizvodnja 560–600 kWh naspram potrošnje 878 kWh), zbog čega se godišnji prinos ne uzima kao kriterij.</w:t>
      </w:r>
    </w:p>
    <w:p>
      <w:pPr>
        <w:pStyle w:val="Heading2"/>
      </w:pPr>
      <w:r>
        <w:t>3.2 Projektna opterećenja konstrukcije (OBAVEZNO)</w:t>
      </w:r>
    </w:p>
    <w:p>
      <w:pPr>
        <w:spacing w:before="80" w:after="120"/>
        <w:shd w:fill="FCEEDD"/>
        <w:pBdr>
          <w:left w:val="single" w:sz="18" w:space="4" w:color="F5821F"/>
        </w:pBdr>
        <w:ind w:left="160"/>
      </w:pPr>
      <w:r>
        <w:rPr>
          <w:b/>
          <w:sz w:val="19"/>
        </w:rPr>
        <w:t>OSNOVA PRORAČUNA: kataloški nosač tipa A ima deklarisanu otpornost 31 m/s (0,52 kN/m²) pri nagibu 45° i 40 m/s (0,87 kN/m²) pri 15°/25°, što je ISPOD opterećenja ovog lokaliteta — i pri punoj (2×6) i pri ovoj, manjoj (3×4) površini nosača. Zahtijeva se CUSTOM IZRADA konstrukcije dimenzionisane i dokazane za stvarno opterećenje lokaliteta (Tačka 3.1); kataloški proizvod se ne prihvata kao osnovna ponuda.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350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Pritisak vjetra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qp ≥ 1,20 kN/m² (udar 3 s ≈ 45 m/s)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Koeficijent sile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cf ≥ 1,5 pri 45° prema EN 1991-1-4 §7.3, osim uz dokaz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Površina izloženosti vjetru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10,55 m² po nosaču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Sila podizanja po nosaču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≥18,1 kN (GSN, γQ = 1,5 / γG,fav = 0,9)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Horizontalna sila po nosaču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≥13,4 kN (GSN)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Moment prevrtanja po nosaču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≥62,8 kNm (GSN)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Mjerodavno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>podizanje (uplift) i prevrtanje, a NE nosivost tla</w:t>
            </w:r>
          </w:p>
        </w:tc>
      </w:tr>
    </w:tbl>
    <w:p/>
    <w:p>
      <w:pPr>
        <w:pStyle w:val="Heading2"/>
      </w:pPr>
      <w:r>
        <w:t>3.3 Materijal i izrada (OBAVEZNO)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shd w:fill="F2F2F2"/>
          </w:tcPr>
          <w:p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6917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Konstrukcijski čelik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S275JR (S355JR za stubove) prema EN 10025-2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Profili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šuplji profili prema EN 10219; stubovi min. RHS 80 × 80 × 4, rigle min. RHS 60 × 40 × 3, ili presjek sa dokazano najmanje jednakim otpornim momentom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Antikorozivna zaštita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vruće cinčanje prema EN ISO 1461, min. 70 µm lokalno / 85 µm srednje (C4)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Zavarivanje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EN 1090-2, klasa izvedbe EXC2; zavarivači prema EN ISO 9606-1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Označavanje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CE i izjava o svojstvima prema EN 1090-1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Konstrukcijski vijci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M16 klase 8.8, cinčani, prema EN 15048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Pričvršćenje modula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nehrđajući A2/A4; stezaljke za debljinu modula 30 mm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Zaštita od krađe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antitheft matice na stezaljkama modula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Moment pritezanja</w:t>
            </w:r>
          </w:p>
        </w:tc>
        <w:tc>
          <w:tcPr>
            <w:tcW w:type="dxa" w:w="6917"/>
          </w:tcPr>
          <w:p>
            <w:r/>
            <w:r>
              <w:rPr>
                <w:sz w:val="17"/>
              </w:rPr>
              <w:t>prema uputstvu proizvođača (45 N·m za Huawei)</w:t>
            </w:r>
          </w:p>
        </w:tc>
      </w:tr>
    </w:tbl>
    <w:p/>
    <w:p>
      <w:pPr>
        <w:pStyle w:val="Heading2"/>
      </w:pPr>
      <w:r>
        <w:t>3.4 Sidrenje (OBAVEZNO)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F2F2F2"/>
          </w:tcPr>
          <w:p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7143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hemijski (epoksidni/vinilesterski) anker M16 ili M20, sa ETA odobrenjem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Materijal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vruće cinčan ili nehrđajući A4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Broj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min. 2 ankera po temeljnoj traci, odnosno 4 po nosaču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Nosivost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karakteristična sila čupanja ≥30 kN po ankeru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Dubina ugradnje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prema ETA za konkretnu podlogu (beton / stijena)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Projektna sila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ukupno podizanje po nosaču ≥18,1 kN; sila po traci od momenta prevrtanja ≥39,3 kN pri razmaku traka 1600 mm — ovo je mjerodavno opterećenje za sidrenje, ne ukupno podizanje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Dokazivanje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ispitivanje čupanjem na ≥10 % ugrađenih ankera, min. 2 po nosaču, do 1,5 × projektne sile, uz zapisnik ovjeren od nadzornog organa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Alternativa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livena U-sidra M16/320 dozvoljena SAMO uz gravitacioni temelj ≥0,75 m³ po nosaču — momenat prevrtanja i dalje zahtijeva provjeru lokalnog istezanja trake, ne samo ukupne mase</w:t>
            </w:r>
          </w:p>
        </w:tc>
      </w:tr>
    </w:tbl>
    <w:p/>
    <w:p>
      <w:pPr>
        <w:pStyle w:val="Heading2"/>
      </w:pPr>
      <w:r>
        <w:t>3.5 Temelji (OBAVEZNO)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F2F2F2"/>
          </w:tcPr>
          <w:p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7143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Beton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C30/37, klasa izloženosti XC4 + XF3, aerant 4–6 %, Dmax 16, S3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Podložni beton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C12/15, d = 50 mm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Armatura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B500B, zaštitni sloj ≥50 mm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Geometrija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2 trake po nosaču (×3 nosača = 6 traka ukupno), min. 450 mm široke × 3300 mm duge, razmak 1600 mm, pravac SJEVER–JUG; dubina prema statičkom proračunu (≥900 mm)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Smještaj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IZVAN ograđenog platoa, 400 mm južno od kote ograde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Dubina smrzavanja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temeljna spojnica ispod dubine smrzavanja; Ponuđač navodi vrijednost</w:t>
            </w:r>
          </w:p>
        </w:tc>
      </w:tr>
    </w:tbl>
    <w:p/>
    <w:p>
      <w:pPr>
        <w:spacing w:after="80"/>
      </w:pPr>
      <w:r>
        <w:rPr>
          <w:b w:val="0"/>
          <w:i/>
          <w:sz w:val="18"/>
        </w:rPr>
        <w:t>NAPOMENA: postojeća AB ploča 5,40 × 5,40 m već postoji i NIJE predmet ovog LOT-a.</w:t>
      </w:r>
    </w:p>
    <w:p>
      <w:pPr>
        <w:pStyle w:val="Heading2"/>
      </w:pPr>
      <w:r>
        <w:t>3.6 Uzemljenje (LOT 1)</w:t>
      </w:r>
    </w:p>
    <w:p>
      <w:pPr>
        <w:pStyle w:val="ListBullet"/>
        <w:spacing w:after="40"/>
      </w:pPr>
      <w:r>
        <w:rPr>
          <w:sz w:val="19"/>
        </w:rPr>
        <w:t>povezivanje sva tri nosača na postojeći prstenasti uzemljivač Fe/Zn 25 × 4 mm</w:t>
      </w:r>
    </w:p>
    <w:p>
      <w:pPr>
        <w:pStyle w:val="ListBullet"/>
        <w:spacing w:after="40"/>
      </w:pPr>
      <w:r>
        <w:rPr>
          <w:sz w:val="19"/>
        </w:rPr>
        <w:t>vodič: bakarno uže ≥50 mm² prema EN 62305-3, Tabela 7, otporno na UV i ukopavanje — NIJE dozvoljen H07V-K 25 mm² (unutrašnji instalacioni vodič)</w:t>
      </w:r>
    </w:p>
    <w:p>
      <w:pPr>
        <w:pStyle w:val="ListBullet"/>
        <w:spacing w:after="40"/>
      </w:pPr>
      <w:r>
        <w:rPr>
          <w:sz w:val="19"/>
        </w:rPr>
        <w:t>bimetalni (Cu/Fe-Zn) ukrsni komadi radi sprječavanja galvanske korozije</w:t>
      </w:r>
    </w:p>
    <w:p>
      <w:pPr>
        <w:pStyle w:val="ListBullet"/>
        <w:spacing w:after="40"/>
      </w:pPr>
      <w:r>
        <w:rPr>
          <w:sz w:val="19"/>
        </w:rPr>
        <w:t>kontinuitet spojeva ≤0,1 Ω; ukupni otpor uzemljenja ≤10 Ω</w:t>
      </w:r>
    </w:p>
    <w:p>
      <w:pPr>
        <w:pStyle w:val="ListBullet"/>
        <w:spacing w:after="40"/>
      </w:pPr>
      <w:r>
        <w:rPr>
          <w:sz w:val="19"/>
        </w:rPr>
        <w:t>DC kablovi na razmaku ≥0,5 m od odvoda gromobranske instalacije</w:t>
      </w:r>
    </w:p>
    <w:p>
      <w:pPr>
        <w:pStyle w:val="Heading1"/>
      </w:pPr>
      <w:r>
        <w:t>4. LOT 2 — Dizel električni agregat i instalacije</w:t>
      </w:r>
    </w:p>
    <w:p>
      <w:pPr>
        <w:pStyle w:val="Heading2"/>
      </w:pPr>
      <w:r>
        <w:t>4.1 Agregat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b/>
                <w:sz w:val="17"/>
              </w:rPr>
              <w:t>Zahtjev / referentna vrijednost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Snaga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22 kVA / 17,6 kW standby (20 kVA / 16 kW prime), 400/230 V, 50 Hz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Referentni tip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FG Wilson P22-6 (Skid) ili ekvivalent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Motor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Perkins 404D-22G ili ekvivalent, 4-cilindarski, 1500 o/min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Izvedba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skid, za ugradnju u postojeći kontejner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Dimenzije skida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1550 × 620 × 1020 mm (referentno)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Masa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378 kg suho / 385 kg mokro (referentno)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Derating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dokazati za 1076 m n.v. i temperaturu do +40 °C prema ISO 3046-1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Pobuda (OBAVEZNO)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nezavisna pobuda — PMG ili AREP/AUX namotaj; trajna struja kratkog spoja ≥3 × In (≈95 A) u trajanju ≥10 s prema ISO 8528-3. Standardna SHUNT pobuda NIJE prihvatljiva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Antivibracioni elementi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sopstvena frekvencija ≤8 Hz; fleksibilni priključci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Potrošnja goriva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5,9 l/h pri 100 % standby → autonomija ≈85 h na 500 l</w:t>
            </w:r>
          </w:p>
        </w:tc>
      </w:tr>
    </w:tbl>
    <w:p/>
    <w:p>
      <w:pPr>
        <w:pStyle w:val="Heading2"/>
      </w:pPr>
      <w:r>
        <w:t>4.2 Spremnik goriva</w:t>
      </w:r>
    </w:p>
    <w:p>
      <w:pPr>
        <w:pStyle w:val="ListBullet"/>
        <w:spacing w:after="40"/>
      </w:pPr>
      <w:r>
        <w:rPr>
          <w:sz w:val="19"/>
        </w:rPr>
        <w:t>dvoplašni, zapremine 500 l, sa sondom za detekciju curenja</w:t>
      </w:r>
    </w:p>
    <w:p>
      <w:pPr>
        <w:pStyle w:val="ListBullet"/>
        <w:spacing w:after="40"/>
      </w:pPr>
      <w:r>
        <w:rPr>
          <w:sz w:val="19"/>
        </w:rPr>
        <w:t>tankvana / sekundarna zaštita zapremine ≥110 % (550 l)</w:t>
      </w:r>
    </w:p>
    <w:p>
      <w:pPr>
        <w:pStyle w:val="ListBullet"/>
        <w:spacing w:after="40"/>
      </w:pPr>
      <w:r>
        <w:rPr>
          <w:sz w:val="19"/>
        </w:rPr>
        <w:t>vanjski priključak za punjenje sa zaštitom od statičkog elektriciteta i sprječavanjem prelijevanja</w:t>
      </w:r>
    </w:p>
    <w:p>
      <w:pPr>
        <w:pStyle w:val="ListBullet"/>
        <w:spacing w:after="40"/>
      </w:pPr>
      <w:r>
        <w:rPr>
          <w:sz w:val="19"/>
        </w:rPr>
        <w:t>odušna cijev izvan kontejnera, sa plamenobranom, udaljena ≥3 m od izduva i usisa zraka</w:t>
      </w:r>
    </w:p>
    <w:p>
      <w:pPr>
        <w:pStyle w:val="ListBullet"/>
        <w:spacing w:after="40"/>
      </w:pPr>
      <w:r>
        <w:rPr>
          <w:sz w:val="19"/>
        </w:rPr>
        <w:t>protupožarni ventil na izlazu iz spremnika (topljivi osigurač ili solenoid), aktiviran požarom i E-STOP-om</w:t>
      </w:r>
    </w:p>
    <w:p>
      <w:pPr>
        <w:pStyle w:val="ListBullet"/>
        <w:spacing w:after="40"/>
      </w:pPr>
      <w:r>
        <w:rPr>
          <w:sz w:val="19"/>
        </w:rPr>
        <w:t>sifon protiv povratnog toka</w:t>
      </w:r>
    </w:p>
    <w:p>
      <w:pPr>
        <w:pStyle w:val="Heading2"/>
      </w:pPr>
      <w:r>
        <w:t>4.3 Ventilacija i hlađenje</w:t>
      </w:r>
    </w:p>
    <w:p>
      <w:pPr>
        <w:spacing w:after="80"/>
      </w:pPr>
      <w:r>
        <w:rPr>
          <w:b w:val="0"/>
          <w:i/>
          <w:sz w:val="18"/>
        </w:rPr>
        <w:t>Dimenzionisano prema tehničkom listu proizvođača. Mjerodavno ograničenje je maksimalni vanjski otpor strujanju zraka od 125 Pa, a NE brzina izmjene zraka u prostoriji.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b/>
                <w:sz w:val="17"/>
              </w:rPr>
              <w:t>Vrijednost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Zrak hladnjaka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1980 m³/h (33 m³/min) — ostvaruje vlastiti ventilator hladnjaka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Zrak za sagorijevanje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90 m³/h; max. otpor usisa 3 kPa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Maks. vanjski otpor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125 Pa (ukupno: usis + kanal + izlaz)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Toplota u prostor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7,1 kW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Usisna žaluzina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500 × 700 mm (v ≈ 3,4 m/s, Δp ≈ 16 Pa) — zadovoljava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Kanal hladnjaka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limeni kanal ≈6 m², od pocinčanog lima d = 1 mm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Izlazna žaluzina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600 × 600 mm (Δp ≈ 15 Pa) — zadovoljava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Ventilator prostora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1200 m³/h, Ø315, termostat, blokiran sa radom agregata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Provjera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Ponuđač dostavlja proračun pada pritiska ukupne putanje</w:t>
            </w:r>
          </w:p>
        </w:tc>
      </w:tr>
    </w:tbl>
    <w:p/>
    <w:p>
      <w:pPr>
        <w:pStyle w:val="Heading2"/>
      </w:pPr>
      <w:r>
        <w:t>4.4 Izduvni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fill="F2F2F2"/>
          </w:tcPr>
          <w:p>
            <w:r/>
            <w:r>
              <w:rPr>
                <w:b/>
                <w:sz w:val="17"/>
              </w:rPr>
              <w:t>Parametar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b/>
                <w:sz w:val="17"/>
              </w:rPr>
              <w:t>Vrijednost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Protok izduvnih gasova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234 m³/h (3,9 m³/min) pri 505 °C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Maks. dozvoljeni protutlak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10,2 kPa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Prečnik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DN 50 zadovoljava (≈2,6 kPa); DN 65 PREPORUČENO (brzina 33 → 20 m/s)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Prigušivač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industrijski; hvatač iskri obavezan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Fleksibilni priključak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neposredno iza motora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Izolacija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kamena vuna d = 50 mm + Al lim; boja otporna na 600 °C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Završetak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iznad krova, usmjeren naviše, ≥3 m od usisa zraka i odušne cijevi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Provjera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Ponuđač dostavlja proračun protutlaka</w:t>
            </w:r>
          </w:p>
        </w:tc>
      </w:tr>
    </w:tbl>
    <w:p/>
    <w:p>
      <w:pPr>
        <w:pStyle w:val="Heading2"/>
      </w:pPr>
      <w:r>
        <w:t>4.5 Elektroinstalacije i zaštita (OBAVEZNO)</w:t>
      </w:r>
    </w:p>
    <w:p>
      <w:pPr>
        <w:spacing w:before="80" w:after="120"/>
        <w:shd w:fill="FCEEDD"/>
        <w:pBdr>
          <w:left w:val="single" w:sz="18" w:space="4" w:color="F5821F"/>
        </w:pBdr>
        <w:ind w:left="160"/>
      </w:pPr>
      <w:r>
        <w:rPr>
          <w:b/>
          <w:sz w:val="19"/>
        </w:rPr>
        <w:t>KRITIČNO — POBUDA GENERATORA. Referentni agregat je u standardnoj izvedbi SHUNT pobude, za koju tehnički list proizvođača deklariše trajnu struju kratkog spoja 0 % (nezavisna pobuda PMG / AUX je opcija). Kod SHUNT pobude napon na stezaljkama se pri kvaru uruši, pobuda nestaje, a trajna struja kvara padne na ≈0,5 × In — ISPOD nazivne struje, pa ne može aktivirati nijednu prekostrujnu zaštitu. Zbog toga se zahtijeva NEZAVISNA POBUDA (PMG ili AREP/AUX) sa 3 × In u trajanju ≥10 s (Tačka 4.1), a zaštita zaštitnom strujnom sklopkom ostaje OBAVEZNA kao drugi nivo zaštite.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fill="F2F2F2"/>
          </w:tcPr>
          <w:p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b/>
                <w:sz w:val="17"/>
              </w:rPr>
              <w:t>Zahtjev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Struja kvara (SHUNT)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prvi poluperiod 407 A (12,8 × In, X"d = 0,078) → prelazna 205 A (6,5 × In) → TRAJNA 16 A (0,5 × In, Xd = 1,938) — ne aktivira zaštitu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Struja kvara (PMG/AREP)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≥95 A (3 × In) trajno ≥10 s — ZAHTIJEVANO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Sistem uzemljenja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TN-S, jedinstvena tačka spajanja N i PE u novom GRO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Glavna zaštita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4p RCD 63 A / 300 mA, S-tip (selektivna)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Krajnji strujni krugovi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 × RCBO 16 A / 30 mA, tip A (utičnice, rasvjeta)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Nazivna struja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In = 31,75 A pri 22 kVA / 400 V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Sklopka izvora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4p 63 A, položaji 1 – agregat / 0 – isključeno / 2 – rezerva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SPD, AC strana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tip 1 + 2 (Iimp ≥12,5 kA) — objekat ima vanjski LPS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SPD, DC strana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tip 2 po stringu (Iimp ≥5 kA, Ucpv ≥425 V), na PVDB i na polju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SPD, signalni vodovi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prema EN 61643-21 — OBAVEZNO (stub h = 38 m)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AC kablovi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bezhalogeni, CPR ≥ Cca-s1b,d1,a1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DC kablovi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H1Z2Z2-K 6 mm²; priključak na iSSU presjekom 4 mm²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Otpor uzemljenja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≤10 Ω</w:t>
            </w:r>
          </w:p>
        </w:tc>
      </w:tr>
    </w:tbl>
    <w:p/>
    <w:p>
      <w:pPr>
        <w:pStyle w:val="Heading2"/>
      </w:pPr>
      <w:r>
        <w:t>4.6 Upravljanje i nadzor</w:t>
      </w:r>
    </w:p>
    <w:p>
      <w:pPr>
        <w:pStyle w:val="ListBullet"/>
        <w:spacing w:after="40"/>
      </w:pPr>
      <w:r>
        <w:rPr>
          <w:sz w:val="19"/>
        </w:rPr>
        <w:t>start agregata prema stanju napunjenosti baterija (SoC), a ne prema ispadu mreže — lokacija nije priključena na EES</w:t>
      </w:r>
    </w:p>
    <w:p>
      <w:pPr>
        <w:pStyle w:val="ListBullet"/>
        <w:spacing w:after="40"/>
      </w:pPr>
      <w:r>
        <w:rPr>
          <w:sz w:val="19"/>
        </w:rPr>
        <w:t>ograničenje ulazne snage ispravljača radi sprječavanja preopterećenja agregata</w:t>
      </w:r>
    </w:p>
    <w:p>
      <w:pPr>
        <w:pStyle w:val="ListBullet"/>
        <w:spacing w:after="40"/>
      </w:pPr>
      <w:r>
        <w:rPr>
          <w:sz w:val="19"/>
        </w:rPr>
        <w:t>prijenos alarma u sistem daljinskog nadzora: rad agregata, kvar, nivo goriva, curenje goriva, požar, temperatura prostora</w:t>
      </w:r>
    </w:p>
    <w:p>
      <w:pPr>
        <w:pStyle w:val="ListBullet"/>
        <w:spacing w:after="40"/>
      </w:pPr>
      <w:r>
        <w:rPr>
          <w:sz w:val="19"/>
        </w:rPr>
        <w:t>komunikacioni modul kompatibilan sa postojećim sistemom napajanja</w:t>
      </w:r>
    </w:p>
    <w:p>
      <w:pPr>
        <w:pStyle w:val="Heading2"/>
      </w:pPr>
      <w:r>
        <w:t>4.7 Zaštita od požara (OBAVEZNO)</w:t>
      </w:r>
    </w:p>
    <w:p>
      <w:pPr>
        <w:pStyle w:val="ListBullet"/>
        <w:spacing w:after="40"/>
      </w:pPr>
      <w:r>
        <w:rPr>
          <w:sz w:val="19"/>
        </w:rPr>
        <w:t>elaborat zaštite od požara za prostor sa 500 l dizel goriva — prije izvođenja</w:t>
      </w:r>
    </w:p>
    <w:p>
      <w:pPr>
        <w:pStyle w:val="ListBullet"/>
        <w:spacing w:after="40"/>
      </w:pPr>
      <w:r>
        <w:rPr>
          <w:sz w:val="19"/>
        </w:rPr>
        <w:t>detekcija: dimni i termički detektori; detekcija CO i NO₂</w:t>
      </w:r>
    </w:p>
    <w:p>
      <w:pPr>
        <w:pStyle w:val="ListBullet"/>
        <w:spacing w:after="40"/>
      </w:pPr>
      <w:r>
        <w:rPr>
          <w:sz w:val="19"/>
        </w:rPr>
        <w:t>automatsko gašenje sredstvom za klasu B, sa blokadom ventilacije pri aktivaciji</w:t>
      </w:r>
    </w:p>
    <w:p>
      <w:pPr>
        <w:pStyle w:val="ListBullet"/>
        <w:spacing w:after="40"/>
      </w:pPr>
      <w:r>
        <w:rPr>
          <w:sz w:val="19"/>
        </w:rPr>
        <w:t>protupožarni ventil na izlazu iz spremnika</w:t>
      </w:r>
    </w:p>
    <w:p>
      <w:pPr>
        <w:pStyle w:val="ListBullet"/>
        <w:spacing w:after="40"/>
      </w:pPr>
      <w:r>
        <w:rPr>
          <w:sz w:val="19"/>
        </w:rPr>
        <w:t>E-STOP izvan kontejnera pored ulaznih vrata, prema ISO 13850 kategorija 0</w:t>
      </w:r>
    </w:p>
    <w:p>
      <w:pPr>
        <w:pStyle w:val="ListBullet"/>
        <w:spacing w:after="40"/>
      </w:pPr>
      <w:r>
        <w:rPr>
          <w:sz w:val="19"/>
        </w:rPr>
        <w:t>oznake opasnosti, zabrana pušenja, oznaka kapaciteta goriva</w:t>
      </w:r>
    </w:p>
    <w:p>
      <w:pPr>
        <w:pStyle w:val="ListBullet"/>
        <w:spacing w:after="40"/>
      </w:pPr>
      <w:r>
        <w:rPr>
          <w:sz w:val="19"/>
        </w:rPr>
        <w:t>najmanje dva aparata za gašenje odgovarajuće klase</w:t>
      </w:r>
    </w:p>
    <w:p>
      <w:pPr>
        <w:pStyle w:val="Heading1"/>
      </w:pPr>
      <w:r>
        <w:t>5. Dokazi koji se dostavljaju UZ PONUDU (uslov kvalifikacije)</w:t>
      </w:r>
    </w:p>
    <w:p>
      <w:pPr>
        <w:spacing w:before="80" w:after="120"/>
        <w:shd w:fill="FCEEDD"/>
        <w:pBdr>
          <w:left w:val="single" w:sz="18" w:space="4" w:color="F5821F"/>
        </w:pBdr>
        <w:ind w:left="160"/>
      </w:pPr>
      <w:r>
        <w:rPr>
          <w:b/>
          <w:sz w:val="19"/>
        </w:rPr>
        <w:t>Ponuda koja ne sadrži dokaze označene kao OBAVEZNI smatra se neprihvatljivom. Dokazi se NE dostavljaju naknadno, nakon dodjele ugovora.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shd w:fill="F2F2F2"/>
          </w:tcPr>
          <w:p>
            <w:r/>
            <w:r>
              <w:rPr>
                <w:b/>
                <w:sz w:val="17"/>
              </w:rPr>
              <w:t>Br.</w:t>
            </w:r>
          </w:p>
        </w:tc>
        <w:tc>
          <w:tcPr>
            <w:tcW w:type="dxa" w:w="5443"/>
            <w:shd w:fill="F2F2F2"/>
          </w:tcPr>
          <w:p>
            <w:r/>
            <w:r>
              <w:rPr>
                <w:b/>
                <w:sz w:val="17"/>
              </w:rPr>
              <w:t>Dokaz</w:t>
            </w:r>
          </w:p>
        </w:tc>
        <w:tc>
          <w:tcPr>
            <w:tcW w:type="dxa" w:w="907"/>
            <w:shd w:fill="F2F2F2"/>
          </w:tcPr>
          <w:p>
            <w:r/>
            <w:r>
              <w:rPr>
                <w:b/>
                <w:sz w:val="17"/>
              </w:rPr>
              <w:t>LOT</w:t>
            </w:r>
          </w:p>
        </w:tc>
        <w:tc>
          <w:tcPr>
            <w:tcW w:type="dxa" w:w="2381"/>
            <w:shd w:fill="F2F2F2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Statički proračun nosive konstrukcije i temelja za qp ≥ 1,20 kN/m² pri 45°, ovjeren i potpisan od ovlaštenog inženjera, sa dokazom na podizanje i prevrtanje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Radionički crteži konstrukcije i temelja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Izjava o svojstvima prema EN 1090-1 i klasa izvedbe EXC2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Atesti materijala (čelik) i potvrda o vrućem cinčanju (debljina sloja)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ETA odobrenje ponuđenih hemijskih ankera sa proračunom nosivosti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Tehnički list (TDS) ponuđenog agregata sa podacima o hlađenju, izduvu i masama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Proračun ventilacije sa padom pritiska ukupne putanje (≤125 Pa)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Proračun protutlaka izduvnog sistema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Proračun nosivosti poda kontejnera za skid i pun spremnik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Jednopolna shema novog GRO sa zaštitnim uređajima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Ovlaštenje proizvođača ili ovlaštenog distributera za ponuđeni agregat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ISO 9001 i ISO 14001 proizvođača agregata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Kataloška dokumentacija sa označenim ponuđenim tipovima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1, 2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OBAVEZNO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Akustički proračun, ako se zahtijeva nivo buke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po potrebi</w:t>
            </w:r>
          </w:p>
        </w:tc>
      </w:tr>
    </w:tbl>
    <w:p/>
    <w:p>
      <w:pPr>
        <w:pStyle w:val="Heading1"/>
      </w:pPr>
      <w:r>
        <w:t>6. Ispitivanja i puštanje u rad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fill="F2F2F2"/>
          </w:tcPr>
          <w:p>
            <w:r/>
            <w:r>
              <w:rPr>
                <w:b/>
                <w:sz w:val="17"/>
              </w:rPr>
              <w:t>Ispitivanje</w:t>
            </w:r>
          </w:p>
        </w:tc>
        <w:tc>
          <w:tcPr>
            <w:tcW w:type="dxa" w:w="6009"/>
            <w:shd w:fill="F2F2F2"/>
          </w:tcPr>
          <w:p>
            <w:r/>
            <w:r>
              <w:rPr>
                <w:b/>
                <w:sz w:val="17"/>
              </w:rPr>
              <w:t>Kriterij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Otpor uzemljenja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≤10 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Kontinuitet zaštitnih vodiča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≤0,1 Ω po spoju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Ispitivanje čupanja ankera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≥10 % ankera, do 1,5 × projektne sile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Funkcionalno ispitivanje RCD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vrijeme i struja isključenja prema IEC 61008/61009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Ispitivanje ventilacije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izmjereni pad pritiska ≤125 Pa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Funkcionalno ispitivanje agregata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automatski start/stop, zaštite, alarmi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Probni rad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72 h neprekidnog rada sa simulacijom opterećenja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Mjerenje temperature prostora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pri radu agregata na nazivnom opterećenju</w:t>
            </w:r>
          </w:p>
        </w:tc>
      </w:tr>
    </w:tbl>
    <w:p/>
    <w:p>
      <w:pPr>
        <w:pStyle w:val="Heading1"/>
      </w:pPr>
      <w:r>
        <w:t>7. Garancija</w:t>
      </w:r>
    </w:p>
    <w:p>
      <w:pPr>
        <w:pStyle w:val="ListBullet"/>
        <w:spacing w:after="40"/>
      </w:pPr>
      <w:r>
        <w:rPr>
          <w:sz w:val="19"/>
        </w:rPr>
        <w:t>garantni period minimalno 24 mjeseca od zapisnika o primopredaji bez primjedbi</w:t>
      </w:r>
    </w:p>
    <w:p>
      <w:pPr>
        <w:pStyle w:val="ListBullet"/>
        <w:spacing w:after="40"/>
      </w:pPr>
      <w:r>
        <w:rPr>
          <w:sz w:val="19"/>
        </w:rPr>
        <w:t>postgarantni period minimalno 5 godina</w:t>
      </w:r>
    </w:p>
    <w:p>
      <w:pPr>
        <w:pStyle w:val="ListBullet"/>
        <w:spacing w:after="40"/>
      </w:pPr>
      <w:r>
        <w:rPr>
          <w:sz w:val="19"/>
        </w:rPr>
        <w:t>spisak preporučenih rezervnih dijelova za 500 h rada agregata</w:t>
      </w:r>
    </w:p>
    <w:p>
      <w:pPr>
        <w:pStyle w:val="ListBullet"/>
        <w:spacing w:after="40"/>
      </w:pPr>
      <w:r>
        <w:rPr>
          <w:sz w:val="19"/>
        </w:rPr>
        <w:t>dokumentacija izvedenog stanja i uputstva za pogon i održavanje</w:t>
      </w:r>
    </w:p>
    <w:p/>
    <w:p>
      <w:pPr>
        <w:jc w:val="right"/>
      </w:pPr>
      <w:r>
        <w:rPr>
          <w:sz w:val="18"/>
        </w:rPr>
        <w:t>Sačinio: Rusmir Skopljak, dipl. ing. el.</w:t>
        <w:br/>
        <w:t>Izvršna direkcija za tehnologiju i razvoj servisa</w:t>
        <w:br/>
        <w:t>BH Telecom d.d. Sarajevo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PRILOG I — Specifikacija zahtjeva · BS Sjednica (Bileća) · Rev. 1, 2026 · stranica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PAGE</w:instrText>
    </w:r>
    <w:r>
      <w:rPr>
        <w:color w:val="595959"/>
        <w:sz w:val="15"/>
      </w:rPr>
      <w:fldChar w:fldCharType="end"/>
    </w:r>
    <w:r>
      <w:rPr>
        <w:color w:val="595959"/>
        <w:sz w:val="15"/>
      </w:rPr>
      <w:t xml:space="preserve"> od </w:t>
    </w:r>
    <w:r>
      <w:rPr>
        <w:color w:val="595959"/>
        <w:sz w:val="15"/>
      </w:rPr>
      <w:fldChar w:fldCharType="begin"/>
    </w:r>
    <w:r>
      <w:rPr>
        <w:color w:val="595959"/>
        <w:sz w:val="15"/>
      </w:rPr>
      <w:instrText xml:space="preserve">NUMPAGES</w:instrText>
    </w:r>
    <w:r>
      <w:rPr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92000" cy="55226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ht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2000" cy="55226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F582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5959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9595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F5821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  <w:jc w:val="center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