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media/image24.wmf" ContentType="image/x-wmf"/>
  <Override PartName="/word/media/image25.wmf" ContentType="image/x-wmf"/>
  <Override PartName="/word/media/image26.wmf" ContentType="image/x-wmf"/>
  <Override PartName="/word/media/image27.wmf" ContentType="image/x-wmf"/>
  <Override PartName="/word/media/image28.wmf" ContentType="image/x-wmf"/>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09"/>
          <w:tab w:val="left" w:pos="567" w:leader="none"/>
          <w:tab w:val="center" w:pos="4535" w:leader="none"/>
        </w:tabs>
        <w:jc w:val="both"/>
        <w:rPr>
          <w:rFonts w:ascii="Arial" w:hAnsi="Arial" w:cs="Arial"/>
          <w:sz w:val="21"/>
          <w:szCs w:val="21"/>
          <w:lang w:val="bs-BA"/>
        </w:rPr>
      </w:pPr>
      <w:r>
        <w:rPr>
          <w:rFonts w:cs="Arial" w:ascii="Arial" w:hAnsi="Arial"/>
          <w:b/>
          <w:sz w:val="21"/>
          <w:szCs w:val="21"/>
          <w:lang w:val="bs-BA"/>
        </w:rPr>
        <w:tab/>
      </w:r>
      <w:r>
        <w:rPr>
          <w:rFonts w:cs="Arial" w:ascii="Arial" w:hAnsi="Arial"/>
          <w:b/>
          <w:sz w:val="21"/>
          <w:szCs w:val="21"/>
          <w:highlight w:val="yellow"/>
          <w:lang w:val="bs-BA"/>
        </w:rPr>
        <w:t xml:space="preserve">_____.</w:t>
      </w:r>
      <w:r>
        <w:rPr>
          <w:rFonts w:cs="Arial" w:ascii="Arial" w:hAnsi="Arial"/>
          <w:b/>
          <w:sz w:val="21"/>
          <w:szCs w:val="21"/>
          <w:lang w:val="bs-BA"/>
        </w:rPr>
        <w:t xml:space="preserve"> SJEDNICA UPRAVE DIONIČKOG DRUŠTVA BH TELECOM SARAJEVO</w:t>
      </w:r>
    </w:p>
    <w:p>
      <w:pPr>
        <w:pStyle w:val="Normal"/>
        <w:jc w:val="both"/>
        <w:rPr>
          <w:rFonts w:ascii="Arial" w:hAnsi="Arial" w:cs="Arial"/>
          <w:b/>
          <w:sz w:val="21"/>
          <w:szCs w:val="21"/>
          <w:lang w:val="bs-BA"/>
        </w:rPr>
      </w:pPr>
      <w:r>
        <w:rPr>
          <w:rFonts w:cs="Arial" w:ascii="Arial" w:hAnsi="Arial"/>
          <w:b/>
          <w:sz w:val="21"/>
          <w:szCs w:val="21"/>
          <w:lang w:val="bs-BA"/>
        </w:rPr>
        <w:t xml:space="preserve">Predlagač/Izvjestilac: Izvršna direkcija za Investicije/</w:t>
      </w:r>
      <w:r>
        <w:rPr>
          <w:rFonts w:cs="Arial" w:ascii="Arial" w:hAnsi="Arial"/>
          <w:sz w:val="21"/>
          <w:szCs w:val="21"/>
          <w:lang w:val="bs-BA"/>
        </w:rPr>
        <w:t xml:space="preserve"> </w:t>
      </w:r>
      <w:r>
        <w:rPr>
          <w:rFonts w:cs="Arial" w:ascii="Arial" w:hAnsi="Arial"/>
          <w:b/>
          <w:sz w:val="21"/>
          <w:szCs w:val="21"/>
          <w:lang w:val="bs-BA"/>
        </w:rPr>
        <w:t xml:space="preserve">Izvršna direkcija za tehnologiju i razvoj servisa</w:t>
      </w:r>
    </w:p>
    <w:p>
      <w:pPr>
        <w:pStyle w:val="Default"/>
        <w:jc w:val="both"/>
        <w:rPr>
          <w:b/>
          <w:sz w:val="21"/>
          <w:szCs w:val="21"/>
        </w:rPr>
      </w:pPr>
      <w:r>
        <w:rPr>
          <w:b/>
          <w:sz w:val="21"/>
          <w:szCs w:val="21"/>
        </w:rPr>
        <w:t xml:space="preserve">Naslov: Prijedlog Odluke o odobrenju sredstava za nabavku „infrastruktura i instalacija opreme za autonomni hibridni sistem napajanja Sjednica, Bileća i Hamzići, Čitluk (LOT 1 i 2)“</w:t>
      </w:r>
    </w:p>
    <w:p>
      <w:pPr>
        <w:pStyle w:val="Default"/>
        <w:ind w:start="284"/>
        <w:rPr>
          <w:b/>
          <w:sz w:val="21"/>
          <w:szCs w:val="21"/>
        </w:rPr>
      </w:pPr>
      <w:r>
        <w:rPr>
          <w:b/>
          <w:sz w:val="21"/>
          <w:szCs w:val="21"/>
        </w:rPr>
      </w:r>
    </w:p>
    <w:p>
      <w:pPr>
        <w:pStyle w:val="Normal"/>
        <w:rPr>
          <w:rFonts w:ascii="Arial" w:hAnsi="Arial" w:cs="Arial"/>
          <w:b/>
          <w:sz w:val="21"/>
          <w:szCs w:val="21"/>
          <w:lang w:val="bs-BA"/>
        </w:rPr>
      </w:pPr>
      <w:r>
        <w:rPr>
          <w:rFonts w:cs="Arial" w:ascii="Arial" w:hAnsi="Arial"/>
          <w:b/>
          <w:sz w:val="21"/>
          <w:szCs w:val="21"/>
          <w:lang w:val="bs-BA"/>
        </w:rPr>
        <w:t xml:space="preserve">Dokument za:</w:t>
      </w:r>
    </w:p>
    <w:p>
      <w:pPr>
        <w:pStyle w:val="Normal"/>
        <w:rPr>
          <w:rFonts w:ascii="Arial" w:hAnsi="Arial" w:cs="Arial"/>
          <w:b/>
          <w:sz w:val="21"/>
          <w:szCs w:val="21"/>
          <w:lang w:val="bs-BA"/>
        </w:rPr>
      </w:pPr>
      <w:r>
        <w:rPr>
          <w:rFonts w:cs="Arial" w:ascii="Arial" w:hAnsi="Arial"/>
          <w:b/>
          <w:sz w:val="21"/>
          <w:szCs w:val="21"/>
          <w:lang w:val="bs-BA"/>
        </w:rPr>
        <w:t xml:space="preserve">  </w:t>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1371600" cy="2592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45pt;width:107.95pt;height:20.35pt;mso-wrap-style:none;v-text-anchor:middle;mso-position-vertical:top" type="_x0000_t75">
                <v:imagedata r:id="rId3" o:detectmouseclick="t"/>
                <v:stroke color="#3465a4" joinstyle="round" endcap="flat"/>
                <w10:wrap type="none"/>
              </v:shape>
            </w:pict>
          </mc:Fallback>
        </mc:AlternateContent>
      </w:r>
      <w:r>
        <w:rPr>
          <w:rFonts w:cs="Arial" w:ascii="Arial" w:hAnsi="Arial"/>
          <w:b/>
          <w:sz w:val="21"/>
          <w:szCs w:val="21"/>
          <w:lang w:val="bs-BA"/>
        </w:rPr>
        <w:t xml:space="preserve">  </w:t>
      </w:r>
      <w:r>
        <w:rPr/>
        <mc:AlternateContent>
          <mc:Choice Requires="wps">
            <w:drawing>
              <wp:inline distT="0" distB="0" distL="0" distR="0">
                <wp:extent cx="1371600" cy="259080"/>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5"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7" name=""/>
                <a:graphic xmlns:a="http://schemas.openxmlformats.org/drawingml/2006/main">
                  <a:graphicData uri="http://schemas.openxmlformats.org/drawingml/2006/picture">
                    <pic:pic xmlns:pic="http://schemas.openxmlformats.org/drawingml/2006/picture">
                      <pic:nvPicPr>
                        <pic:cNvPr id="8" name=""/>
                        <pic:cNvPicPr/>
                      </pic:nvPicPr>
                      <pic:blipFill>
                        <a:blip r:embed="rId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9"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t xml:space="preserve">Vrijeme potrebno za prezentaciju/diskusiju:</w: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0"/>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1"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1" name=""/>
                <a:graphic xmlns:a="http://schemas.openxmlformats.org/drawingml/2006/main">
                  <a:graphicData uri="http://schemas.openxmlformats.org/drawingml/2006/picture">
                    <pic:pic xmlns:pic="http://schemas.openxmlformats.org/drawingml/2006/picture">
                      <pic:nvPicPr>
                        <pic:cNvPr id="12" name=""/>
                        <pic:cNvPicPr/>
                      </pic:nvPicPr>
                      <pic:blipFill>
                        <a:blip r:embed="rId12"/>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3"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3" name=""/>
                <a:graphic xmlns:a="http://schemas.openxmlformats.org/drawingml/2006/main">
                  <a:graphicData uri="http://schemas.openxmlformats.org/drawingml/2006/picture">
                    <pic:pic xmlns:pic="http://schemas.openxmlformats.org/drawingml/2006/picture">
                      <pic:nvPicPr>
                        <pic:cNvPr id="14" name=""/>
                        <pic:cNvPicPr/>
                      </pic:nvPicPr>
                      <pic:blipFill>
                        <a:blip r:embed="rId1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5"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sz w:val="21"/>
          <w:szCs w:val="21"/>
          <w:lang w:val="bs-BA"/>
        </w:rPr>
      </w:pPr>
      <w:r>
        <w:rPr>
          <w:rFonts w:cs="Arial" w:ascii="Arial" w:hAnsi="Arial"/>
          <w:b/>
          <w:sz w:val="21"/>
          <w:szCs w:val="21"/>
          <w:lang w:val="bs-BA"/>
        </w:rPr>
        <w:t xml:space="preserve">Osnov za izradu materijala:</w:t>
      </w:r>
    </w:p>
    <w:p>
      <w:pPr>
        <w:pStyle w:val="Normal"/>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109220" distR="0" simplePos="0" relativeHeight="9" behindDoc="0" locked="0" layoutInCell="0" allowOverlap="1" wp14:anchorId="72BCDF3A">
                <wp:simplePos x="0" y="0"/>
                <wp:positionH relativeFrom="margin">
                  <wp:align>right</wp:align>
                </wp:positionH>
                <wp:positionV relativeFrom="paragraph">
                  <wp:posOffset>220345</wp:posOffset>
                </wp:positionV>
                <wp:extent cx="5913755" cy="2895600"/>
                <wp:effectExtent l="5715" t="5080" r="4445" b="5080"/>
                <wp:wrapSquare wrapText="bothSides"/>
                <wp:docPr id="15" name="Text Box 2"/>
                <a:graphic xmlns:a="http://schemas.openxmlformats.org/drawingml/2006/main">
                  <a:graphicData uri="http://schemas.microsoft.com/office/word/2010/wordprocessingShape">
                    <wps:wsp>
                      <wps:cNvSpPr/>
                      <wps:spPr>
                        <a:xfrm>
                          <a:off x="0" y="0"/>
                          <a:ext cx="5913720" cy="2895480"/>
                        </a:xfrm>
                        <a:prstGeom prst="rect">
                          <a:avLst/>
                        </a:prstGeom>
                        <a:solidFill>
                          <a:srgbClr val="FFFFFF"/>
                        </a:solidFill>
                        <a:ln w="9525">
                          <a:solidFill>
                            <a:srgbClr val="000000"/>
                          </a:solidFill>
                          <a:miter/>
                        </a:ln>
                      </wps:spPr>
                      <wps:style>
                        <a:lnRef idx="0"/>
                        <a:fillRef idx="0"/>
                        <a:effectRef idx="0"/>
                        <a:fontRef idx="minor"/>
                      </wps:style>
                      <wps:txb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 xml:space="preserve">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 xml:space="preserve">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 xml:space="preserve">,</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sz w:val="22"/>
                                <w:szCs w:val="22"/>
                                <w:highlight w:val="yellow"/>
                              </w:rPr>
                              <w:t xml:space="preserve">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 xml:space="preserve">1</w:t>
                            </w:r>
                            <w:r>
                              <w:rPr>
                                <w:rFonts w:cs="Arial" w:ascii="Arial" w:hAnsi="Arial"/>
                                <w:color w:val="000000"/>
                                <w:sz w:val="22"/>
                                <w:szCs w:val="22"/>
                                <w:highlight w:val="yellow"/>
                              </w:rPr>
                              <w:t xml:space="preserve">8</w:t>
                            </w:r>
                            <w:r>
                              <w:rPr>
                                <w:rFonts w:cs="Arial" w:ascii="Arial" w:hAnsi="Arial"/>
                                <w:color w:val="000000"/>
                                <w:sz w:val="22"/>
                                <w:szCs w:val="22"/>
                                <w:highlight w:val="yellow"/>
                                <w:lang w:val="bs-Cyrl-BA"/>
                              </w:rPr>
                              <w:t xml:space="preserve">/PROJEKAT-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 xml:space="preserve">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 xml:space="preserve">Nadzor i upravljanje energetikom</w:t>
                            </w:r>
                            <w:r>
                              <w:rPr>
                                <w:rFonts w:cs="Arial" w:ascii="Arial" w:hAnsi="Arial"/>
                                <w:color w:val="000000"/>
                                <w:sz w:val="22"/>
                                <w:szCs w:val="22"/>
                                <w:highlight w:val="yellow"/>
                                <w:lang w:val="bs-Cyrl-BA"/>
                              </w:rPr>
                              <w:t xml:space="preserve">“</w:t>
                            </w:r>
                            <w:r>
                              <w:rPr>
                                <w:rFonts w:cs="Arial" w:ascii="Arial" w:hAnsi="Arial"/>
                                <w:color w:val="000000"/>
                                <w:sz w:val="22"/>
                                <w:szCs w:val="22"/>
                                <w:highlight w:val="yellow"/>
                              </w:rPr>
                              <w:t xml:space="preserve">,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 xml:space="preserve">ni</w:t>
                            </w:r>
                            <w:r>
                              <w:rPr>
                                <w:rFonts w:cs="Arial" w:ascii="Arial" w:hAnsi="Arial"/>
                                <w:sz w:val="22"/>
                                <w:szCs w:val="22"/>
                                <w:lang w:val="bs-Cyrl-BA"/>
                              </w:rPr>
                              <w:t xml:space="preserve">je uvrštena u Plan nabavki za 202</w:t>
                            </w:r>
                            <w:r>
                              <w:rPr>
                                <w:rFonts w:cs="Arial" w:ascii="Arial" w:hAnsi="Arial"/>
                                <w:sz w:val="22"/>
                                <w:szCs w:val="22"/>
                                <w:lang w:val="bs-BA"/>
                              </w:rPr>
                              <w:t xml:space="preserve">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wps:txbx>
                      <wps:bodyPr anchor="t" upright="1">
                        <a:noAutofit/>
                      </wps:bodyPr>
                    </wps:wsp>
                  </a:graphicData>
                </a:graphic>
              </wp:anchor>
            </w:drawing>
          </mc:Choice>
          <mc:Fallback>
            <w:pict>
              <v:rect id="shape_0" fillcolor="white" stroked="t" o:allowincell="f" style="position:absolute;margin-left:16.2pt;margin-top:17.35pt;width:465.6pt;height:227.95pt;mso-wrap-style:square;v-text-anchor:top;mso-position-horizontal:right;mso-position-horizontal-relative:margin" wp14:anchorId="72BCDF3A">
                <v:fill o:detectmouseclick="t" type="solid" color2="black"/>
                <v:stroke color="black" weight="9360" joinstyle="miter" endcap="flat"/>
                <v:textbo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 xml:space="preserve">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 xml:space="preserve">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 xml:space="preserve">,</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sz w:val="22"/>
                          <w:szCs w:val="22"/>
                          <w:highlight w:val="yellow"/>
                        </w:rPr>
                        <w:t xml:space="preserve">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 xml:space="preserve">1</w:t>
                      </w:r>
                      <w:r>
                        <w:rPr>
                          <w:rFonts w:cs="Arial" w:ascii="Arial" w:hAnsi="Arial"/>
                          <w:color w:val="000000"/>
                          <w:sz w:val="22"/>
                          <w:szCs w:val="22"/>
                          <w:highlight w:val="yellow"/>
                        </w:rPr>
                        <w:t xml:space="preserve">8</w:t>
                      </w:r>
                      <w:r>
                        <w:rPr>
                          <w:rFonts w:cs="Arial" w:ascii="Arial" w:hAnsi="Arial"/>
                          <w:color w:val="000000"/>
                          <w:sz w:val="22"/>
                          <w:szCs w:val="22"/>
                          <w:highlight w:val="yellow"/>
                          <w:lang w:val="bs-Cyrl-BA"/>
                        </w:rPr>
                        <w:t xml:space="preserve">/PROJEKAT-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 xml:space="preserve">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 xml:space="preserve">Nadzor i upravljanje energetikom</w:t>
                      </w:r>
                      <w:r>
                        <w:rPr>
                          <w:rFonts w:cs="Arial" w:ascii="Arial" w:hAnsi="Arial"/>
                          <w:color w:val="000000"/>
                          <w:sz w:val="22"/>
                          <w:szCs w:val="22"/>
                          <w:highlight w:val="yellow"/>
                          <w:lang w:val="bs-Cyrl-BA"/>
                        </w:rPr>
                        <w:t xml:space="preserve">“</w:t>
                      </w:r>
                      <w:r>
                        <w:rPr>
                          <w:rFonts w:cs="Arial" w:ascii="Arial" w:hAnsi="Arial"/>
                          <w:color w:val="000000"/>
                          <w:sz w:val="22"/>
                          <w:szCs w:val="22"/>
                          <w:highlight w:val="yellow"/>
                        </w:rPr>
                        <w:t xml:space="preserve">,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 xml:space="preserve">ni</w:t>
                      </w:r>
                      <w:r>
                        <w:rPr>
                          <w:rFonts w:cs="Arial" w:ascii="Arial" w:hAnsi="Arial"/>
                          <w:sz w:val="22"/>
                          <w:szCs w:val="22"/>
                          <w:lang w:val="bs-Cyrl-BA"/>
                        </w:rPr>
                        <w:t xml:space="preserve">je uvrštena u Plan nabavki za 202</w:t>
                      </w:r>
                      <w:r>
                        <w:rPr>
                          <w:rFonts w:cs="Arial" w:ascii="Arial" w:hAnsi="Arial"/>
                          <w:sz w:val="22"/>
                          <w:szCs w:val="22"/>
                          <w:lang w:val="bs-BA"/>
                        </w:rPr>
                        <w:t xml:space="preserve">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v:textbox>
                <w10:wrap type="square"/>
              </v:rect>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tabs>
          <w:tab w:val="clear" w:pos="709"/>
          <w:tab w:val="left" w:pos="426" w:leader="none"/>
        </w:tabs>
        <w:rPr>
          <w:rFonts w:ascii="Arial" w:hAnsi="Arial" w:cs="Arial"/>
          <w:b/>
          <w:sz w:val="21"/>
          <w:szCs w:val="21"/>
          <w:lang w:val="bs-BA"/>
        </w:rPr>
      </w:pPr>
      <w:r>
        <mc:AlternateContent>
          <mc:Choice Requires="wps">
            <w:drawing>
              <wp:anchor distT="40640" distB="59690" distL="109220" distR="0" simplePos="0" relativeHeight="16" behindDoc="0" locked="0" layoutInCell="0" allowOverlap="1" wp14:anchorId="0E418064">
                <wp:simplePos x="0" y="0"/>
                <wp:positionH relativeFrom="margin">
                  <wp:align>right</wp:align>
                </wp:positionH>
                <wp:positionV relativeFrom="paragraph">
                  <wp:posOffset>223520</wp:posOffset>
                </wp:positionV>
                <wp:extent cx="5905500" cy="2514600"/>
                <wp:effectExtent l="5080" t="5080" r="5080" b="5080"/>
                <wp:wrapSquare wrapText="bothSides"/>
                <wp:docPr id="16" name="Text Box 2"/>
                <a:graphic xmlns:a="http://schemas.openxmlformats.org/drawingml/2006/main">
                  <a:graphicData uri="http://schemas.microsoft.com/office/word/2010/wordprocessingShape">
                    <wps:wsp>
                      <wps:cNvSpPr/>
                      <wps:spPr>
                        <a:xfrm>
                          <a:off x="0" y="0"/>
                          <a:ext cx="5905440" cy="2514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uppressAutoHyphens w:val="false"/>
                              <w:jc w:val="both"/>
                              <w:rPr>
                                <w:rFonts w:ascii="Arial" w:hAnsi="Arial" w:cs="Arial"/>
                                <w:color w:val="000000"/>
                                <w:sz w:val="22"/>
                                <w:szCs w:val="22"/>
                              </w:rPr>
                            </w:pPr>
                            <w:bookmarkStart w:id="0" w:name="_Hlk93048456"/>
                            <w:r>
                              <w:rPr>
                                <w:rFonts w:cs="Arial"/>
                                <w:color w:val="000000"/>
                                <w:sz w:val="22"/>
                                <w:szCs w:val="22"/>
                              </w:rPr>
                              <w:t xml:space="preserve">Sredstva za realizaciju ove Odluke predviđena su </w:t>
                            </w:r>
                            <w:bookmarkEnd w:id="0"/>
                            <w:r>
                              <w:rPr>
                                <w:rFonts w:cs="Arial"/>
                                <w:sz w:val="22"/>
                                <w:szCs w:val="22"/>
                                <w:lang w:val="bs-Cyrl-BA" w:eastAsia="bs-BA"/>
                              </w:rPr>
                              <w:t xml:space="preserve">Trogodišnjim planom poslovanja Dioničkog Društva BH Telecom Sarajevo za period </w:t>
                            </w:r>
                            <w:r>
                              <w:rPr>
                                <w:rFonts w:cs="Arial"/>
                                <w:iCs/>
                                <w:sz w:val="22"/>
                                <w:szCs w:val="22"/>
                              </w:rPr>
                              <w:t xml:space="preserve">01.01.2025. do 31.12.2027. godine, broj: 00.1-03-74251/25-5 od 24.10.2025. godine, str.27/67, Tabela 1.</w:t>
                            </w:r>
                            <w:r>
                              <w:rPr>
                                <w:rFonts w:cs="Arial"/>
                                <w:color w:val="000000"/>
                                <w:sz w:val="22"/>
                                <w:szCs w:val="22"/>
                              </w:rPr>
                              <w:t xml:space="preserve"> i </w:t>
                            </w:r>
                            <w:r>
                              <w:rPr>
                                <w:rFonts w:cs="Arial"/>
                                <w:sz w:val="22"/>
                                <w:szCs w:val="22"/>
                              </w:rPr>
                              <w:t xml:space="preserve">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 xml:space="preserve">,</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 xml:space="preserve">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 xml:space="preserve">redni broj</w:t>
                            </w:r>
                            <w:r>
                              <w:rPr>
                                <w:rFonts w:cs="Arial"/>
                                <w:sz w:val="22"/>
                                <w:szCs w:val="22"/>
                                <w:highlight w:val="yellow"/>
                                <w:lang w:val="bs-BA"/>
                              </w:rPr>
                              <w:t xml:space="preserve"> </w:t>
                            </w:r>
                            <w:r>
                              <w:rPr>
                                <w:rFonts w:cs="Arial"/>
                                <w:color w:val="000000"/>
                                <w:sz w:val="22"/>
                                <w:szCs w:val="22"/>
                                <w:highlight w:val="yellow"/>
                                <w:lang w:val="bs-Cyrl-BA"/>
                              </w:rPr>
                              <w:t xml:space="preserve">1</w:t>
                            </w:r>
                            <w:r>
                              <w:rPr>
                                <w:rFonts w:cs="Arial"/>
                                <w:color w:val="000000"/>
                                <w:sz w:val="22"/>
                                <w:szCs w:val="22"/>
                                <w:highlight w:val="yellow"/>
                              </w:rPr>
                              <w:t xml:space="preserve">8</w:t>
                            </w:r>
                            <w:r>
                              <w:rPr>
                                <w:rFonts w:cs="Arial"/>
                                <w:color w:val="000000"/>
                                <w:sz w:val="22"/>
                                <w:szCs w:val="22"/>
                                <w:highlight w:val="yellow"/>
                                <w:lang w:val="bs-Cyrl-BA"/>
                              </w:rPr>
                              <w:t xml:space="preserve">/PROJEKAT- ENERGETIKA I KLIMATIZACIJA, r.br.</w:t>
                            </w:r>
                            <w:r>
                              <w:rPr>
                                <w:rFonts w:cs="Arial"/>
                                <w:sz w:val="22"/>
                                <w:szCs w:val="22"/>
                                <w:highlight w:val="yellow"/>
                                <w:lang w:val="bs-Cyrl-BA"/>
                              </w:rPr>
                              <w:t xml:space="preserve"> </w:t>
                            </w:r>
                            <w:r>
                              <w:rPr>
                                <w:rFonts w:cs="Arial"/>
                                <w:color w:val="000000"/>
                                <w:sz w:val="22"/>
                                <w:szCs w:val="22"/>
                                <w:highlight w:val="yellow"/>
                              </w:rPr>
                              <w:t xml:space="preserve">18.1</w:t>
                            </w:r>
                            <w:r>
                              <w:rPr>
                                <w:rFonts w:cs="Arial"/>
                                <w:color w:val="000000"/>
                                <w:sz w:val="22"/>
                                <w:szCs w:val="22"/>
                                <w:highlight w:val="yellow"/>
                                <w:lang w:val="bs-Cyrl-BA"/>
                              </w:rPr>
                              <w:t xml:space="preserve"> – „</w:t>
                            </w:r>
                            <w:r>
                              <w:rPr>
                                <w:rFonts w:cs="Arial"/>
                                <w:color w:val="000000"/>
                                <w:sz w:val="22"/>
                                <w:szCs w:val="22"/>
                                <w:highlight w:val="yellow"/>
                                <w:lang w:val="en-US"/>
                              </w:rPr>
                              <w:t xml:space="preserve">Nadzor i upravljanje energetikom</w:t>
                            </w:r>
                            <w:r>
                              <w:rPr>
                                <w:rFonts w:cs="Arial"/>
                                <w:color w:val="000000"/>
                                <w:sz w:val="22"/>
                                <w:szCs w:val="22"/>
                                <w:highlight w:val="yellow"/>
                                <w:lang w:val="bs-Cyrl-BA"/>
                              </w:rPr>
                              <w:t xml:space="preserve">“</w:t>
                            </w:r>
                            <w:r>
                              <w:rPr>
                                <w:rFonts w:cs="Arial"/>
                                <w:color w:val="000000"/>
                                <w:sz w:val="22"/>
                                <w:szCs w:val="22"/>
                                <w:highlight w:val="yellow"/>
                              </w:rPr>
                              <w:t xml:space="preserve">, r.br.18.4-„</w:t>
                            </w:r>
                            <w:r>
                              <w:rPr>
                                <w:rFonts w:cs="Arial"/>
                                <w:sz w:val="22"/>
                                <w:szCs w:val="22"/>
                                <w:highlight w:val="yellow"/>
                                <w:lang w:val="en-US" w:eastAsia="en-US"/>
                              </w:rPr>
                              <w:t xml:space="preserve"> </w:t>
                            </w:r>
                            <w:r>
                              <w:rPr>
                                <w:rFonts w:cs="Arial"/>
                                <w:color w:val="000000"/>
                                <w:sz w:val="22"/>
                                <w:szCs w:val="22"/>
                                <w:highlight w:val="yellow"/>
                                <w:lang w:val="en-US"/>
                              </w:rPr>
                              <w:t xml:space="preserve">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 xml:space="preserve">Ukupna predračunska vrijednost sredstava iznosi ukupno ___.___,__ KM (slovima: ______________ konvertibilnih maraka) bez PDV-a, od čega LOT 1 — ___.___,__ KM i LOT 2 — ___.___,__ KM. Sredstva su finansijski raspoloživa u toku poslovne 2026. godine. Rok realizacije Odluke je 31.12.2027. godine.</w:t>
                            </w:r>
                            <w:bookmarkStart w:id="1" w:name="_Hlk93048488"/>
                            <w:bookmarkEnd w:id="1"/>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16.85pt;margin-top:17.6pt;width:464.95pt;height:197.95pt;mso-wrap-style:square;v-text-anchor:top;mso-position-horizontal:right;mso-position-horizontal-relative:margin" wp14:anchorId="0E418064">
                <v:fill o:detectmouseclick="t" type="solid" color2="black"/>
                <v:stroke color="black" weight="9360" joinstyle="miter" endcap="flat"/>
                <v:textbox>
                  <w:txbxContent>
                    <w:p>
                      <w:pPr>
                        <w:pStyle w:val="FrameContents"/>
                        <w:suppressAutoHyphens w:val="false"/>
                        <w:jc w:val="both"/>
                        <w:rPr>
                          <w:rFonts w:ascii="Arial" w:hAnsi="Arial" w:cs="Arial"/>
                          <w:color w:val="000000"/>
                          <w:sz w:val="22"/>
                          <w:szCs w:val="22"/>
                        </w:rPr>
                      </w:pPr>
                      <w:bookmarkStart w:id="2" w:name="_Hlk93048456"/>
                      <w:r>
                        <w:rPr>
                          <w:rFonts w:cs="Arial"/>
                          <w:color w:val="000000"/>
                          <w:sz w:val="22"/>
                          <w:szCs w:val="22"/>
                        </w:rPr>
                        <w:t xml:space="preserve">Sredstva za realizaciju ove Odluke predviđena su </w:t>
                      </w:r>
                      <w:bookmarkEnd w:id="2"/>
                      <w:r>
                        <w:rPr>
                          <w:rFonts w:cs="Arial"/>
                          <w:sz w:val="22"/>
                          <w:szCs w:val="22"/>
                          <w:lang w:val="bs-Cyrl-BA" w:eastAsia="bs-BA"/>
                        </w:rPr>
                        <w:t xml:space="preserve">Trogodišnjim planom poslovanja Dioničkog Društva BH Telecom Sarajevo za period </w:t>
                      </w:r>
                      <w:r>
                        <w:rPr>
                          <w:rFonts w:cs="Arial"/>
                          <w:iCs/>
                          <w:sz w:val="22"/>
                          <w:szCs w:val="22"/>
                        </w:rPr>
                        <w:t xml:space="preserve">01.01.2025. do 31.12.2027. godine, broj: 00.1-03-74251/25-5 od 24.10.2025. godine, str.27/67, Tabela 1.</w:t>
                      </w:r>
                      <w:r>
                        <w:rPr>
                          <w:rFonts w:cs="Arial"/>
                          <w:color w:val="000000"/>
                          <w:sz w:val="22"/>
                          <w:szCs w:val="22"/>
                        </w:rPr>
                        <w:t xml:space="preserve"> i </w:t>
                      </w:r>
                      <w:r>
                        <w:rPr>
                          <w:rFonts w:cs="Arial"/>
                          <w:sz w:val="22"/>
                          <w:szCs w:val="22"/>
                        </w:rPr>
                        <w:t xml:space="preserve">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 xml:space="preserve">,</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 xml:space="preserve">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 xml:space="preserve">redni broj</w:t>
                      </w:r>
                      <w:r>
                        <w:rPr>
                          <w:rFonts w:cs="Arial"/>
                          <w:sz w:val="22"/>
                          <w:szCs w:val="22"/>
                          <w:highlight w:val="yellow"/>
                          <w:lang w:val="bs-BA"/>
                        </w:rPr>
                        <w:t xml:space="preserve"> </w:t>
                      </w:r>
                      <w:r>
                        <w:rPr>
                          <w:rFonts w:cs="Arial"/>
                          <w:color w:val="000000"/>
                          <w:sz w:val="22"/>
                          <w:szCs w:val="22"/>
                          <w:highlight w:val="yellow"/>
                          <w:lang w:val="bs-Cyrl-BA"/>
                        </w:rPr>
                        <w:t xml:space="preserve">1</w:t>
                      </w:r>
                      <w:r>
                        <w:rPr>
                          <w:rFonts w:cs="Arial"/>
                          <w:color w:val="000000"/>
                          <w:sz w:val="22"/>
                          <w:szCs w:val="22"/>
                          <w:highlight w:val="yellow"/>
                        </w:rPr>
                        <w:t xml:space="preserve">8</w:t>
                      </w:r>
                      <w:r>
                        <w:rPr>
                          <w:rFonts w:cs="Arial"/>
                          <w:color w:val="000000"/>
                          <w:sz w:val="22"/>
                          <w:szCs w:val="22"/>
                          <w:highlight w:val="yellow"/>
                          <w:lang w:val="bs-Cyrl-BA"/>
                        </w:rPr>
                        <w:t xml:space="preserve">/PROJEKAT- ENERGETIKA I KLIMATIZACIJA, r.br.</w:t>
                      </w:r>
                      <w:r>
                        <w:rPr>
                          <w:rFonts w:cs="Arial"/>
                          <w:sz w:val="22"/>
                          <w:szCs w:val="22"/>
                          <w:highlight w:val="yellow"/>
                          <w:lang w:val="bs-Cyrl-BA"/>
                        </w:rPr>
                        <w:t xml:space="preserve"> </w:t>
                      </w:r>
                      <w:r>
                        <w:rPr>
                          <w:rFonts w:cs="Arial"/>
                          <w:color w:val="000000"/>
                          <w:sz w:val="22"/>
                          <w:szCs w:val="22"/>
                          <w:highlight w:val="yellow"/>
                        </w:rPr>
                        <w:t xml:space="preserve">18.1</w:t>
                      </w:r>
                      <w:r>
                        <w:rPr>
                          <w:rFonts w:cs="Arial"/>
                          <w:color w:val="000000"/>
                          <w:sz w:val="22"/>
                          <w:szCs w:val="22"/>
                          <w:highlight w:val="yellow"/>
                          <w:lang w:val="bs-Cyrl-BA"/>
                        </w:rPr>
                        <w:t xml:space="preserve"> – „</w:t>
                      </w:r>
                      <w:r>
                        <w:rPr>
                          <w:rFonts w:cs="Arial"/>
                          <w:color w:val="000000"/>
                          <w:sz w:val="22"/>
                          <w:szCs w:val="22"/>
                          <w:highlight w:val="yellow"/>
                          <w:lang w:val="en-US"/>
                        </w:rPr>
                        <w:t xml:space="preserve">Nadzor i upravljanje energetikom</w:t>
                      </w:r>
                      <w:r>
                        <w:rPr>
                          <w:rFonts w:cs="Arial"/>
                          <w:color w:val="000000"/>
                          <w:sz w:val="22"/>
                          <w:szCs w:val="22"/>
                          <w:highlight w:val="yellow"/>
                          <w:lang w:val="bs-Cyrl-BA"/>
                        </w:rPr>
                        <w:t xml:space="preserve">“</w:t>
                      </w:r>
                      <w:r>
                        <w:rPr>
                          <w:rFonts w:cs="Arial"/>
                          <w:color w:val="000000"/>
                          <w:sz w:val="22"/>
                          <w:szCs w:val="22"/>
                          <w:highlight w:val="yellow"/>
                        </w:rPr>
                        <w:t xml:space="preserve">, r.br.18.4-„</w:t>
                      </w:r>
                      <w:r>
                        <w:rPr>
                          <w:rFonts w:cs="Arial"/>
                          <w:sz w:val="22"/>
                          <w:szCs w:val="22"/>
                          <w:highlight w:val="yellow"/>
                          <w:lang w:val="en-US" w:eastAsia="en-US"/>
                        </w:rPr>
                        <w:t xml:space="preserve"> </w:t>
                      </w:r>
                      <w:r>
                        <w:rPr>
                          <w:rFonts w:cs="Arial"/>
                          <w:color w:val="000000"/>
                          <w:sz w:val="22"/>
                          <w:szCs w:val="22"/>
                          <w:highlight w:val="yellow"/>
                          <w:lang w:val="en-US"/>
                        </w:rPr>
                        <w:t xml:space="preserve">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 xml:space="preserve">Ukupna predračunska vrijednost sredstava iznosi ukupno ___.___,__ KM (slovima: ______________ konvertibilnih maraka) bez PDV-a, od čega LOT 1 — ___.___,__ KM i LOT 2 — ___.___,__ KM. Sredstva su finansijski raspoloživa u toku poslovne 2026. godine. Rok realizacije Odluke je 31.12.2027. godine.</w:t>
                      </w:r>
                      <w:bookmarkStart w:id="3" w:name="_Hlk93048488"/>
                      <w:bookmarkEnd w:id="3"/>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v:textbox>
                <w10:wrap type="square"/>
              </v:rect>
            </w:pict>
          </mc:Fallback>
        </mc:AlternateContent>
      </w:r>
      <w:r>
        <w:rPr>
          <w:rFonts w:cs="Arial" w:ascii="Arial" w:hAnsi="Arial"/>
          <w:b/>
          <w:sz w:val="21"/>
          <w:szCs w:val="21"/>
          <w:lang w:val="bs-BA"/>
        </w:rPr>
        <w:t xml:space="preserve">Dosadašnje aktivnosti:</w:t>
      </w:r>
    </w:p>
    <w:p>
      <w:pPr>
        <w:pStyle w:val="Normal"/>
        <w:suppressAutoHyphens w:val="false"/>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 xml:space="preserve">Forma prijedloga za usvajanje:</w: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sz w:val="21"/>
          <w:szCs w:val="21"/>
          <w:lang w:val="bs-BA" w:eastAsia="hr-HR"/>
        </w:rPr>
      </w:pPr>
      <w:r>
        <mc:AlternateContent>
          <mc:Choice Requires="wps">
            <w:drawing>
              <wp:anchor distT="40005" distB="60325" distL="0" distR="135890" simplePos="0" relativeHeight="12" behindDoc="0" locked="0" layoutInCell="0" allowOverlap="1" wp14:anchorId="1C38EDFC">
                <wp:simplePos x="0" y="0"/>
                <wp:positionH relativeFrom="margin">
                  <wp:align>left</wp:align>
                </wp:positionH>
                <wp:positionV relativeFrom="paragraph">
                  <wp:posOffset>342900</wp:posOffset>
                </wp:positionV>
                <wp:extent cx="6108065" cy="628650"/>
                <wp:effectExtent l="5715" t="5080" r="4445" b="5080"/>
                <wp:wrapSquare wrapText="bothSides"/>
                <wp:docPr id="17" name="Text Box 2"/>
                <a:graphic xmlns:a="http://schemas.openxmlformats.org/drawingml/2006/main">
                  <a:graphicData uri="http://schemas.microsoft.com/office/word/2010/wordprocessingShape">
                    <wps:wsp>
                      <wps:cNvSpPr/>
                      <wps:spPr>
                        <a:xfrm>
                          <a:off x="0" y="0"/>
                          <a:ext cx="6108120" cy="628560"/>
                        </a:xfrm>
                        <a:prstGeom prst="rect">
                          <a:avLst/>
                        </a:prstGeom>
                        <a:solidFill>
                          <a:srgbClr val="FFFFFF"/>
                        </a:solidFill>
                        <a:ln w="9525">
                          <a:solidFill>
                            <a:srgbClr val="000000"/>
                          </a:solidFill>
                          <a:miter/>
                        </a:ln>
                      </wps:spPr>
                      <wps:style>
                        <a:lnRef idx="0"/>
                        <a:fillRef idx="0"/>
                        <a:effectRef idx="0"/>
                        <a:fontRef idx="minor"/>
                      </wps:style>
                      <wps:txbx>
                        <w:txbxContent>
                          <w:p>
                            <w:pPr>
                              <w:pStyle w:val="Default"/>
                              <w:rPr>
                                <w:b/>
                                <w:sz w:val="22"/>
                                <w:szCs w:val="22"/>
                                <w:lang w:val="en-US"/>
                              </w:rPr>
                            </w:pPr>
                            <w:r>
                              <w:rPr>
                                <w:b/>
                                <w:sz w:val="22"/>
                                <w:szCs w:val="22"/>
                              </w:rPr>
                              <w:t xml:space="preserve">Usvaja se Odluka o odobrenju sredstava za nabavku autonomnog hibridnog sistema napajanja na baznim stanicama Sjednica (Bileća) i Hamzići (Čitluk)</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wps:txbx>
                      <wps:bodyPr anchor="t">
                        <a:noAutofit/>
                      </wps:bodyPr>
                    </wps:wsp>
                  </a:graphicData>
                </a:graphic>
              </wp:anchor>
            </w:drawing>
          </mc:Choice>
          <mc:Fallback>
            <w:pict>
              <v:rect id="shape_0" fillcolor="white" stroked="t" o:allowincell="f" style="position:absolute;margin-left:0pt;margin-top:27pt;width:480.9pt;height:49.45pt;mso-wrap-style:square;v-text-anchor:top;mso-position-horizontal:left;mso-position-horizontal-relative:margin" wp14:anchorId="1C38EDFC">
                <v:fill o:detectmouseclick="t" type="solid" color2="black"/>
                <v:stroke color="black" weight="9360" joinstyle="miter" endcap="flat"/>
                <v:textbox>
                  <w:txbxContent>
                    <w:p>
                      <w:pPr>
                        <w:pStyle w:val="Default"/>
                        <w:rPr>
                          <w:b/>
                          <w:sz w:val="22"/>
                          <w:szCs w:val="22"/>
                          <w:lang w:val="en-US"/>
                        </w:rPr>
                      </w:pPr>
                      <w:r>
                        <w:rPr>
                          <w:b/>
                          <w:sz w:val="22"/>
                          <w:szCs w:val="22"/>
                        </w:rPr>
                        <w:t xml:space="preserve">Usvaja se Odluka o odobrenju sredstava za nabavku autonomnog hibridnog sistema napajanja na baznim stanicama Sjednica (Bileća) i Hamzići (Čitluk)</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v:textbox>
                <w10:wrap type="square"/>
              </v:rect>
            </w:pict>
          </mc:Fallback>
        </mc:AlternateContent>
      </w:r>
      <w:r>
        <w:rPr/>
        <mc:AlternateContent>
          <mc:Choice Requires="wps">
            <w:drawing>
              <wp:inline distT="0" distB="0" distL="0" distR="0">
                <wp:extent cx="1173480" cy="259080"/>
                <wp:effectExtent l="0" t="0" r="0" b="0"/>
                <wp:docPr id="18" name=""/>
                <a:graphic xmlns:a="http://schemas.openxmlformats.org/drawingml/2006/main">
                  <a:graphicData uri="http://schemas.openxmlformats.org/drawingml/2006/picture">
                    <pic:pic xmlns:pic="http://schemas.openxmlformats.org/drawingml/2006/picture">
                      <pic:nvPicPr>
                        <pic:cNvPr id="19" name=""/>
                        <pic:cNvPicPr/>
                      </pic:nvPicPr>
                      <pic:blipFill>
                        <a:blip r:embed="rId16"/>
                        <a:stretch/>
                      </pic:blipFill>
                      <pic:spPr>
                        <a:xfrm>
                          <a:off x="0" y="0"/>
                          <a:ext cx="1173600" cy="259200"/>
                        </a:xfrm>
                        <a:prstGeom prst="rect">
                          <a:avLst/>
                        </a:prstGeom>
                        <a:noFill/>
                        <a:ln w="0">
                          <a:noFill/>
                        </a:ln>
                      </pic:spPr>
                    </pic:pic>
                  </a:graphicData>
                </a:graphic>
              </wp:inline>
            </w:drawing>
          </mc:Choice>
          <mc:Fallback>
            <w:pict>
              <v:shape id="shape_0" stroked="f" o:allowincell="f" style="position:absolute;margin-left:0pt;margin-top:-20.45pt;width:92.35pt;height:20.35pt;mso-wrap-style:none;v-text-anchor:middle;mso-position-vertical:top" type="_x0000_t75">
                <v:imagedata r:id="rId17" o:detectmouseclick="t"/>
                <v:stroke color="#3465a4" joinstyle="round" endcap="flat"/>
                <w10:wrap type="none"/>
              </v:shape>
            </w:pict>
          </mc:Fallback>
        </mc:AlternateContent>
      </w:r>
      <w:r>
        <w:rPr/>
        <mc:AlternateContent>
          <mc:Choice Requires="wps">
            <w:drawing>
              <wp:inline distT="0" distB="0" distL="0" distR="0">
                <wp:extent cx="1198880" cy="259080"/>
                <wp:effectExtent l="0" t="0" r="0" b="0"/>
                <wp:docPr id="20" name=""/>
                <a:graphic xmlns:a="http://schemas.openxmlformats.org/drawingml/2006/main">
                  <a:graphicData uri="http://schemas.openxmlformats.org/drawingml/2006/picture">
                    <pic:pic xmlns:pic="http://schemas.openxmlformats.org/drawingml/2006/picture">
                      <pic:nvPicPr>
                        <pic:cNvPr id="21" name=""/>
                        <pic:cNvPicPr/>
                      </pic:nvPicPr>
                      <pic:blipFill>
                        <a:blip r:embed="rId18"/>
                        <a:stretch/>
                      </pic:blipFill>
                      <pic:spPr>
                        <a:xfrm>
                          <a:off x="0" y="0"/>
                          <a:ext cx="1198800" cy="259200"/>
                        </a:xfrm>
                        <a:prstGeom prst="rect">
                          <a:avLst/>
                        </a:prstGeom>
                        <a:noFill/>
                        <a:ln w="0">
                          <a:noFill/>
                        </a:ln>
                      </pic:spPr>
                    </pic:pic>
                  </a:graphicData>
                </a:graphic>
              </wp:inline>
            </w:drawing>
          </mc:Choice>
          <mc:Fallback>
            <w:pict>
              <v:shape id="shape_0" stroked="f" o:allowincell="f" style="position:absolute;margin-left:0pt;margin-top:-20.45pt;width:94.35pt;height:20.35pt;mso-wrap-style:none;v-text-anchor:middle;mso-position-vertical:top" type="_x0000_t75">
                <v:imagedata r:id="rId19" o:detectmouseclick="t"/>
                <v:stroke color="#3465a4" joinstyle="round" endcap="flat"/>
                <w10:wrap type="none"/>
              </v:shape>
            </w:pict>
          </mc:Fallback>
        </mc:AlternateContent>
      </w:r>
      <w:r>
        <w:rPr/>
        <mc:AlternateContent>
          <mc:Choice Requires="wps">
            <w:drawing>
              <wp:inline distT="0" distB="0" distL="0" distR="0">
                <wp:extent cx="1224915" cy="259080"/>
                <wp:effectExtent l="0" t="0" r="0" b="0"/>
                <wp:docPr id="22" name=""/>
                <a:graphic xmlns:a="http://schemas.openxmlformats.org/drawingml/2006/main">
                  <a:graphicData uri="http://schemas.openxmlformats.org/drawingml/2006/picture">
                    <pic:pic xmlns:pic="http://schemas.openxmlformats.org/drawingml/2006/picture">
                      <pic:nvPicPr>
                        <pic:cNvPr id="23" name=""/>
                        <pic:cNvPicPr/>
                      </pic:nvPicPr>
                      <pic:blipFill>
                        <a:blip r:embed="rId20"/>
                        <a:stretch/>
                      </pic:blipFill>
                      <pic:spPr>
                        <a:xfrm>
                          <a:off x="0" y="0"/>
                          <a:ext cx="1225080" cy="259200"/>
                        </a:xfrm>
                        <a:prstGeom prst="rect">
                          <a:avLst/>
                        </a:prstGeom>
                        <a:noFill/>
                        <a:ln w="0">
                          <a:noFill/>
                        </a:ln>
                      </pic:spPr>
                    </pic:pic>
                  </a:graphicData>
                </a:graphic>
              </wp:inline>
            </w:drawing>
          </mc:Choice>
          <mc:Fallback>
            <w:pict>
              <v:shape id="shape_0" stroked="f" o:allowincell="f" style="position:absolute;margin-left:0pt;margin-top:-20.45pt;width:96.4pt;height:20.35pt;mso-wrap-style:none;v-text-anchor:middle;mso-position-vertical:top" type="_x0000_t75">
                <v:imagedata r:id="rId21" o:detectmouseclick="t"/>
                <v:stroke color="#3465a4" joinstyle="round" endcap="flat"/>
                <w10:wrap type="none"/>
              </v:shape>
            </w:pict>
          </mc:Fallback>
        </mc:AlternateContent>
      </w:r>
      <w:r>
        <w:rPr/>
        <mc:AlternateContent>
          <mc:Choice Requires="wps">
            <w:drawing>
              <wp:inline distT="0" distB="0" distL="0" distR="0">
                <wp:extent cx="1207770" cy="259080"/>
                <wp:effectExtent l="0" t="0" r="0" b="0"/>
                <wp:docPr id="24" name=""/>
                <a:graphic xmlns:a="http://schemas.openxmlformats.org/drawingml/2006/main">
                  <a:graphicData uri="http://schemas.openxmlformats.org/drawingml/2006/picture">
                    <pic:pic xmlns:pic="http://schemas.openxmlformats.org/drawingml/2006/picture">
                      <pic:nvPicPr>
                        <pic:cNvPr id="25" name=""/>
                        <pic:cNvPicPr/>
                      </pic:nvPicPr>
                      <pic:blipFill>
                        <a:blip r:embed="rId22"/>
                        <a:stretch/>
                      </pic:blipFill>
                      <pic:spPr>
                        <a:xfrm>
                          <a:off x="0" y="0"/>
                          <a:ext cx="1207800" cy="259200"/>
                        </a:xfrm>
                        <a:prstGeom prst="rect">
                          <a:avLst/>
                        </a:prstGeom>
                        <a:noFill/>
                        <a:ln w="0">
                          <a:noFill/>
                        </a:ln>
                      </pic:spPr>
                    </pic:pic>
                  </a:graphicData>
                </a:graphic>
              </wp:inline>
            </w:drawing>
          </mc:Choice>
          <mc:Fallback>
            <w:pict>
              <v:shape id="shape_0" stroked="f" o:allowincell="f" style="position:absolute;margin-left:0pt;margin-top:-20.45pt;width:95.05pt;height:20.35pt;mso-wrap-style:none;v-text-anchor:middle;mso-position-vertical:top" type="_x0000_t75">
                <v:imagedata r:id="rId23" o:detectmouseclick="t"/>
                <v:stroke color="#3465a4" joinstyle="round" endcap="flat"/>
                <w10:wrap type="none"/>
              </v:shape>
            </w:pict>
          </mc:Fallback>
        </mc:AlternateContent>
      </w:r>
      <w:r>
        <w:rPr/>
        <mc:AlternateContent>
          <mc:Choice Requires="wps">
            <w:drawing>
              <wp:inline distT="0" distB="0" distL="0" distR="0">
                <wp:extent cx="819785" cy="259080"/>
                <wp:effectExtent l="0" t="0" r="0" b="0"/>
                <wp:docPr id="26" name=""/>
                <a:graphic xmlns:a="http://schemas.openxmlformats.org/drawingml/2006/main">
                  <a:graphicData uri="http://schemas.openxmlformats.org/drawingml/2006/picture">
                    <pic:pic xmlns:pic="http://schemas.openxmlformats.org/drawingml/2006/picture">
                      <pic:nvPicPr>
                        <pic:cNvPr id="27" name=""/>
                        <pic:cNvPicPr/>
                      </pic:nvPicPr>
                      <pic:blipFill>
                        <a:blip r:embed="rId24"/>
                        <a:stretch/>
                      </pic:blipFill>
                      <pic:spPr>
                        <a:xfrm>
                          <a:off x="0" y="0"/>
                          <a:ext cx="819720" cy="259200"/>
                        </a:xfrm>
                        <a:prstGeom prst="rect">
                          <a:avLst/>
                        </a:prstGeom>
                        <a:noFill/>
                        <a:ln w="0">
                          <a:noFill/>
                        </a:ln>
                      </pic:spPr>
                    </pic:pic>
                  </a:graphicData>
                </a:graphic>
              </wp:inline>
            </w:drawing>
          </mc:Choice>
          <mc:Fallback>
            <w:pict>
              <v:shape id="shape_0" stroked="f" o:allowincell="f" style="position:absolute;margin-left:0pt;margin-top:-20.45pt;width:64.5pt;height:20.35pt;mso-wrap-style:none;v-text-anchor:middle;mso-position-vertical:top" type="_x0000_t75">
                <v:imagedata r:id="rId25" o:detectmouseclick="t"/>
                <v:stroke color="#3465a4" joinstyle="round" endcap="flat"/>
                <w10:wrap type="none"/>
              </v:shape>
            </w:pict>
          </mc:Fallback>
        </mc:AlternateConten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 xml:space="preserve">Mjera unaprjeđenja:</w:t>
      </w:r>
    </w:p>
    <w:p>
      <w:pPr>
        <w:pStyle w:val="Normal"/>
        <w:suppressAutoHyphens w:val="false"/>
        <w:rPr>
          <w:rFonts w:ascii="Arial" w:hAnsi="Arial" w:cs="Arial"/>
          <w:sz w:val="21"/>
          <w:szCs w:val="21"/>
          <w:lang w:val="bs-BA" w:eastAsia="hr-HR"/>
        </w:rPr>
      </w:pPr>
      <w:r>
        <w:rPr/>
        <mc:AlternateContent>
          <mc:Choice Requires="wps">
            <w:drawing>
              <wp:inline distT="0" distB="0" distL="0" distR="0">
                <wp:extent cx="1371600" cy="259080"/>
                <wp:effectExtent l="0" t="0" r="0" b="0"/>
                <wp:docPr id="28" name=""/>
                <a:graphic xmlns:a="http://schemas.openxmlformats.org/drawingml/2006/main">
                  <a:graphicData uri="http://schemas.openxmlformats.org/drawingml/2006/picture">
                    <pic:pic xmlns:pic="http://schemas.openxmlformats.org/drawingml/2006/picture">
                      <pic:nvPicPr>
                        <pic:cNvPr id="29" name=""/>
                        <pic:cNvPicPr/>
                      </pic:nvPicPr>
                      <pic:blipFill>
                        <a:blip r:embed="rId2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30" name=""/>
                <a:graphic xmlns:a="http://schemas.openxmlformats.org/drawingml/2006/main">
                  <a:graphicData uri="http://schemas.openxmlformats.org/drawingml/2006/picture">
                    <pic:pic xmlns:pic="http://schemas.openxmlformats.org/drawingml/2006/picture">
                      <pic:nvPicPr>
                        <pic:cNvPr id="31" name=""/>
                        <pic:cNvPicPr/>
                      </pic:nvPicPr>
                      <pic:blipFill>
                        <a:blip r:embed="rId2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9" o:detectmouseclick="t"/>
                <v:stroke color="#3465a4" joinstyle="round" endcap="flat"/>
                <w10:wrap type="none"/>
              </v:shape>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rPr>
          <w:rFonts w:ascii="Arial" w:hAnsi="Arial" w:cs="Arial"/>
          <w:b/>
          <w:sz w:val="21"/>
          <w:szCs w:val="21"/>
          <w:lang w:val="bs-BA"/>
        </w:rPr>
      </w:pPr>
      <w:r>
        <w:rPr>
          <w:rFonts w:cs="Arial" w:ascii="Arial" w:hAnsi="Arial"/>
          <w:b/>
          <w:sz w:val="21"/>
          <w:szCs w:val="21"/>
          <w:lang w:val="bs-BA"/>
        </w:rPr>
        <w:t xml:space="preserve">Obrazloženje neodložnosti i hitnosti dopune dnevnog reda: </w:t>
      </w:r>
    </w:p>
    <w:p>
      <w:pPr>
        <w:pStyle w:val="Normal"/>
        <w:tabs>
          <w:tab w:val="clear" w:pos="709"/>
          <w:tab w:val="left" w:pos="1080" w:leader="none"/>
        </w:tabs>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0" distR="135890" simplePos="0" relativeHeight="14" behindDoc="0" locked="0" layoutInCell="0" allowOverlap="1" wp14:anchorId="4DDA1D6C">
                <wp:simplePos x="0" y="0"/>
                <wp:positionH relativeFrom="margin">
                  <wp:align>left</wp:align>
                </wp:positionH>
                <wp:positionV relativeFrom="paragraph">
                  <wp:posOffset>210820</wp:posOffset>
                </wp:positionV>
                <wp:extent cx="6108065" cy="495300"/>
                <wp:effectExtent l="5715" t="5080" r="4445" b="5080"/>
                <wp:wrapSquare wrapText="bothSides"/>
                <wp:docPr id="32" name="Text Box 2"/>
                <a:graphic xmlns:a="http://schemas.openxmlformats.org/drawingml/2006/main">
                  <a:graphicData uri="http://schemas.microsoft.com/office/word/2010/wordprocessingShape">
                    <wps:wsp>
                      <wps:cNvSpPr/>
                      <wps:spPr>
                        <a:xfrm>
                          <a:off x="0" y="0"/>
                          <a:ext cx="6108120" cy="495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0pt;margin-top:16.6pt;width:480.9pt;height:38.95pt;mso-wrap-style:none;v-text-anchor:middle;mso-position-horizontal:left;mso-position-horizontal-relative:margin" wp14:anchorId="4DDA1D6C">
                <v:fill o:detectmouseclick="t" type="solid" color2="black"/>
                <v:stroke color="black" weight="9360" joinstyle="miter" endcap="flat"/>
                <v:textbox>
                  <w:txbxContent>
                    <w:p>
                      <w:pPr>
                        <w:pStyle w:val="FrameContents"/>
                        <w:rPr>
                          <w:rFonts w:ascii="Arial" w:hAnsi="Arial" w:cs="Arial"/>
                          <w:i/>
                          <w:sz w:val="22"/>
                          <w:lang w:val="bs-BA"/>
                        </w:rPr>
                      </w:pPr>
                      <w:r>
                        <w:rPr/>
                      </w:r>
                    </w:p>
                  </w:txbxContent>
                </v:textbox>
                <w10:wrap type="square"/>
              </v:rect>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t xml:space="preserve">Prilozi materijala:</w: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 xml:space="preserve">Aneks 1 - Prijedlog Odluke, broj:  06.1.1.1-14-</w:t>
      </w:r>
      <w:bookmarkStart w:id="4" w:name="_Hlk106351001"/>
      <w:r>
        <w:rPr>
          <w:rFonts w:cs="Arial" w:ascii="Arial" w:hAnsi="Arial"/>
          <w:sz w:val="21"/>
          <w:szCs w:val="21"/>
          <w:highlight w:val="yellow"/>
          <w:lang w:val="bs-BA" w:eastAsia="hr-HR"/>
        </w:rPr>
        <w:t xml:space="preserve">_______</w:t>
      </w:r>
      <w:r>
        <w:rPr>
          <w:rFonts w:cs="Arial" w:ascii="Arial" w:hAnsi="Arial"/>
          <w:sz w:val="21"/>
          <w:szCs w:val="21"/>
          <w:lang w:val="bs-BA" w:eastAsia="hr-HR"/>
        </w:rPr>
        <w:t xml:space="preserve">/</w:t>
      </w:r>
      <w:bookmarkEnd w:id="4"/>
      <w:r>
        <w:rPr>
          <w:rFonts w:cs="Arial" w:ascii="Arial" w:hAnsi="Arial"/>
          <w:sz w:val="21"/>
          <w:szCs w:val="21"/>
          <w:lang w:val="bs-BA" w:eastAsia="hr-HR"/>
        </w:rPr>
        <w:t xml:space="preserve">26 od </w:t>
      </w:r>
      <w:r>
        <w:rPr>
          <w:rFonts w:cs="Arial" w:ascii="Arial" w:hAnsi="Arial"/>
          <w:sz w:val="21"/>
          <w:szCs w:val="21"/>
          <w:highlight w:val="yellow"/>
          <w:lang w:val="bs-BA" w:eastAsia="hr-HR"/>
        </w:rPr>
        <w:t xml:space="preserve">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 xml:space="preserve">Aneks 2 - Obrazloženje, broj: 04.5.1-14-</w:t>
      </w:r>
      <w:r>
        <w:rPr>
          <w:rFonts w:cs="Arial" w:ascii="Arial" w:hAnsi="Arial"/>
          <w:sz w:val="21"/>
          <w:szCs w:val="21"/>
          <w:highlight w:val="yellow"/>
          <w:lang w:val="bs-BA" w:eastAsia="hr-HR"/>
        </w:rPr>
        <w:t xml:space="preserve">_________- </w:t>
      </w:r>
      <w:r>
        <w:rPr>
          <w:rFonts w:cs="Arial" w:ascii="Arial" w:hAnsi="Arial"/>
          <w:sz w:val="21"/>
          <w:szCs w:val="21"/>
          <w:lang w:val="bs-BA" w:eastAsia="hr-HR"/>
        </w:rPr>
        <w:t xml:space="preserve">1/26 od </w:t>
      </w:r>
      <w:r>
        <w:rPr>
          <w:rFonts w:cs="Arial" w:ascii="Arial" w:hAnsi="Arial"/>
          <w:sz w:val="21"/>
          <w:szCs w:val="21"/>
          <w:highlight w:val="yellow"/>
          <w:lang w:val="bs-BA" w:eastAsia="hr-HR"/>
        </w:rPr>
        <w:t xml:space="preserve">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rPr>
        <w:t xml:space="preserve">Aneks 3 – </w:t>
      </w:r>
      <w:r>
        <w:rPr>
          <w:rFonts w:cs="Arial" w:ascii="Arial" w:hAnsi="Arial"/>
          <w:sz w:val="21"/>
          <w:szCs w:val="21"/>
          <w:highlight w:val="yellow"/>
          <w:lang w:val="bs-BA"/>
        </w:rPr>
        <w:t xml:space="preserve">Potvrda o izvršenoj reviziji </w:t>
      </w:r>
      <w:r>
        <w:rPr>
          <w:rFonts w:cs="Arial" w:ascii="Arial" w:hAnsi="Arial"/>
          <w:color w:val="000000"/>
          <w:sz w:val="21"/>
          <w:szCs w:val="21"/>
          <w:highlight w:val="yellow"/>
          <w:lang w:val="bs-BA"/>
        </w:rPr>
        <w:t xml:space="preserve">broj: ......................... od ........................ godine</w:t>
      </w:r>
    </w:p>
    <w:p>
      <w:pPr>
        <w:pStyle w:val="BodyText"/>
        <w:jc w:val="start"/>
        <w:rPr>
          <w:sz w:val="21"/>
          <w:szCs w:val="21"/>
          <w:lang w:val="bs-BA"/>
        </w:rPr>
      </w:pPr>
      <w:r>
        <w:rPr>
          <w:sz w:val="21"/>
          <w:szCs w:val="21"/>
          <w:lang w:val="bs-BA"/>
        </w:rPr>
      </w:r>
    </w:p>
    <w:p>
      <w:pPr>
        <w:pStyle w:val="Normal"/>
        <w:rPr>
          <w:rFonts w:ascii="Arial" w:hAnsi="Arial" w:cs="Arial"/>
          <w:b/>
          <w:sz w:val="21"/>
          <w:szCs w:val="21"/>
          <w:lang w:val="bs-BA"/>
        </w:rPr>
      </w:pPr>
      <w:r>
        <w:rPr>
          <w:rFonts w:cs="Arial" w:ascii="Arial" w:hAnsi="Arial"/>
          <w:sz w:val="21"/>
          <w:szCs w:val="21"/>
          <w:lang w:val="bs-BA" w:eastAsia="bs-BA"/>
        </w:rPr>
        <w:t xml:space="preserve">                                                                               </w:t>
      </w:r>
      <w:r>
        <w:rPr>
          <w:rFonts w:cs="Arial" w:ascii="Arial" w:hAnsi="Arial"/>
          <w:b/>
          <w:sz w:val="21"/>
          <w:szCs w:val="21"/>
          <w:lang w:val="bs-BA"/>
        </w:rPr>
        <w:t xml:space="preserve">                          </w:t>
      </w:r>
      <w:r>
        <w:rPr>
          <w:rFonts w:cs="Arial" w:ascii="Arial" w:hAnsi="Arial"/>
          <w:b/>
          <w:sz w:val="21"/>
          <w:szCs w:val="21"/>
          <w:lang w:val="bs-BA"/>
        </w:rPr>
        <w:t xml:space="preserve">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 xml:space="preserve">Saša Palinić</w:t>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Normal"/>
        <w:tabs>
          <w:tab w:val="clear" w:pos="709"/>
          <w:tab w:val="left" w:pos="1080" w:leader="none"/>
        </w:tabs>
        <w:spacing w:before="0" w:after="0"/>
        <w:rPr>
          <w:rFonts w:ascii="Arial" w:hAnsi="Arial" w:eastAsia="Arial" w:cs="Arial"/>
          <w:b/>
          <w:sz w:val="21"/>
          <w:szCs w:val="21"/>
          <w:lang w:val="bs-BA"/>
        </w:rPr>
      </w:pPr>
      <w:r>
        <w:rPr>
          <w:rFonts w:cs="Arial" w:ascii="Arial" w:hAnsi="Arial"/>
          <w:b/>
          <w:sz w:val="21"/>
          <w:szCs w:val="21"/>
          <w:lang w:val="bs-BA"/>
        </w:rPr>
        <w:t xml:space="preserve">DIONIČKO DRUŠTVO BH TELECOM</w:t>
      </w:r>
    </w:p>
    <w:p>
      <w:pPr>
        <w:pStyle w:val="Normal"/>
        <w:rPr>
          <w:rFonts w:ascii="Arial" w:hAnsi="Arial" w:cs="Arial"/>
          <w:sz w:val="21"/>
          <w:szCs w:val="21"/>
          <w:lang w:val="bs-BA"/>
        </w:rPr>
      </w:pPr>
      <w:r>
        <w:rPr>
          <w:rFonts w:eastAsia="Arial" w:cs="Arial" w:ascii="Arial" w:hAnsi="Arial"/>
          <w:b/>
          <w:spacing w:val="24"/>
          <w:sz w:val="21"/>
          <w:szCs w:val="21"/>
          <w:lang w:val="bs-BA"/>
        </w:rPr>
        <w:t xml:space="preserve">         </w:t>
      </w:r>
      <w:r>
        <w:rPr>
          <w:rFonts w:cs="Arial" w:ascii="Arial" w:hAnsi="Arial"/>
          <w:b/>
          <w:spacing w:val="24"/>
          <w:sz w:val="21"/>
          <w:szCs w:val="21"/>
          <w:lang w:val="bs-BA"/>
        </w:rPr>
        <w:t xml:space="preserve">SARAJEVO</w:t>
      </w:r>
    </w:p>
    <w:p>
      <w:pPr>
        <w:pStyle w:val="Normal"/>
        <w:rPr>
          <w:rFonts w:ascii="Arial" w:hAnsi="Arial" w:cs="Arial"/>
          <w:sz w:val="21"/>
          <w:szCs w:val="21"/>
          <w:lang w:val="bs-BA"/>
        </w:rPr>
      </w:pPr>
      <w:r>
        <w:rPr>
          <w:rFonts w:cs="Arial" w:ascii="Arial" w:hAnsi="Arial"/>
          <w:b/>
          <w:sz w:val="21"/>
          <w:szCs w:val="21"/>
          <w:lang w:val="bs-BA"/>
        </w:rPr>
        <w:t xml:space="preserve">IZVRŠNA DIREKCIJA ZA INVESTICIJE </w:t>
      </w:r>
    </w:p>
    <w:p>
      <w:pPr>
        <w:pStyle w:val="Normal"/>
        <w:jc w:val="both"/>
        <w:rPr>
          <w:rFonts w:ascii="Arial" w:hAnsi="Arial" w:cs="Arial"/>
          <w:sz w:val="21"/>
          <w:szCs w:val="21"/>
          <w:lang w:val="bs-BA"/>
        </w:rPr>
      </w:pPr>
      <w:r>
        <w:rPr>
          <w:rFonts w:cs="Arial" w:ascii="Arial" w:hAnsi="Arial"/>
          <w:b/>
          <w:sz w:val="21"/>
          <w:szCs w:val="21"/>
          <w:lang w:val="bs-BA"/>
        </w:rPr>
        <w:t xml:space="preserve">Broj: 06.1.1.1-14- </w:t>
      </w:r>
      <w:r>
        <w:rPr>
          <w:rFonts w:cs="Arial" w:ascii="Arial" w:hAnsi="Arial"/>
          <w:b/>
          <w:sz w:val="21"/>
          <w:szCs w:val="21"/>
          <w:highlight w:val="yellow"/>
          <w:lang w:val="bs-BA"/>
        </w:rPr>
        <w:t xml:space="preserve">____________</w:t>
      </w:r>
      <w:r>
        <w:rPr>
          <w:rFonts w:cs="Arial" w:ascii="Arial" w:hAnsi="Arial"/>
          <w:b/>
          <w:sz w:val="21"/>
          <w:szCs w:val="21"/>
          <w:lang w:val="bs-BA"/>
        </w:rPr>
        <w:t xml:space="preserve">//26 </w:t>
      </w:r>
    </w:p>
    <w:p>
      <w:pPr>
        <w:pStyle w:val="Normal"/>
        <w:jc w:val="both"/>
        <w:rPr>
          <w:rFonts w:ascii="Arial" w:hAnsi="Arial" w:cs="Arial"/>
          <w:b/>
          <w:sz w:val="21"/>
          <w:szCs w:val="21"/>
          <w:lang w:val="bs-BA"/>
        </w:rPr>
      </w:pPr>
      <w:r>
        <w:rPr>
          <w:rFonts w:cs="Arial" w:ascii="Arial" w:hAnsi="Arial"/>
          <w:b/>
          <w:sz w:val="21"/>
          <w:szCs w:val="21"/>
          <w:lang w:val="bs-BA"/>
        </w:rPr>
        <w:t xml:space="preserve">Sarajevo, </w:t>
      </w:r>
      <w:r>
        <w:rPr>
          <w:rFonts w:cs="Arial" w:ascii="Arial" w:hAnsi="Arial"/>
          <w:b/>
          <w:sz w:val="21"/>
          <w:szCs w:val="21"/>
          <w:highlight w:val="yellow"/>
          <w:lang w:val="bs-BA"/>
        </w:rPr>
        <w:t xml:space="preserve">___.__</w:t>
      </w:r>
      <w:r>
        <w:rPr>
          <w:rFonts w:cs="Arial" w:ascii="Arial" w:hAnsi="Arial"/>
          <w:b/>
          <w:sz w:val="21"/>
          <w:szCs w:val="21"/>
          <w:lang w:val="bs-BA"/>
        </w:rPr>
        <w:t xml:space="preserve">.2026. godin</w:t>
      </w:r>
    </w:p>
    <w:p>
      <w:pPr>
        <w:pStyle w:val="Normal"/>
        <w:jc w:val="center"/>
        <w:rPr>
          <w:rFonts w:ascii="Arial" w:hAnsi="Arial" w:cs="Arial"/>
          <w:sz w:val="21"/>
          <w:szCs w:val="21"/>
          <w:lang w:val="bs-BA"/>
        </w:rPr>
      </w:pPr>
      <w:r>
        <w:rPr>
          <w:rFonts w:cs="Arial" w:ascii="Arial" w:hAnsi="Arial"/>
          <w:b/>
          <w:sz w:val="21"/>
          <w:szCs w:val="21"/>
          <w:lang w:val="bs-BA"/>
        </w:rPr>
        <w:t xml:space="preserve">ANEKS 1</w:t>
      </w:r>
    </w:p>
    <w:p>
      <w:pPr>
        <w:pStyle w:val="Normal"/>
        <w:jc w:val="both"/>
        <w:rPr>
          <w:rFonts w:ascii="Arial" w:hAnsi="Arial" w:cs="Arial"/>
          <w:sz w:val="21"/>
          <w:szCs w:val="21"/>
          <w:lang w:val="bs-BA"/>
        </w:rPr>
      </w:pPr>
      <w:bookmarkStart w:id="5" w:name="_Hlk45694051"/>
      <w:r>
        <w:rPr>
          <w:rFonts w:cs="Arial" w:ascii="Arial" w:hAnsi="Arial"/>
          <w:sz w:val="21"/>
          <w:szCs w:val="21"/>
          <w:lang w:val="bs-BA"/>
        </w:rPr>
        <w:t xml:space="preserve">Na osnovu člana 85. stav (1) tačka f) Statuta Dioničkog Društva BH Telecom Sarajevo, broj: 00.1-03-17072/20-10 od 29.06.2020. godine, člana 13. stav (1) Uputstva o primjeni i provođenju Pravilnika o nabavkama broj: 00.1-14-30750/22-5 od 06.04.2022.godine, člana 19. Pravilnika o pripremi, planiranju, realizaciji i kolaudaciji investicija Dioničkog Društva BH Telecom Sarajevo, broj: 00.1–2.1–19720/16-10 od 11.01.2017. godine, te u skladu sa članom 7. Poslovnika o radu Uprave Društva broj: 00.1-1.1-3579/15-2 od 25.06.2015. godine i broj: 00.1-1.1-7096/17-2 od 10.07.2017.godine, Izvršni direktor ID za investicije Upravi Društva na razmatranje dostavlja:</w:t>
      </w:r>
      <w:bookmarkEnd w:id="5"/>
    </w:p>
    <w:p>
      <w:pPr>
        <w:pStyle w:val="Normal"/>
        <w:jc w:val="center"/>
        <w:rPr>
          <w:rFonts w:ascii="Arial" w:hAnsi="Arial" w:cs="Arial"/>
          <w:b/>
          <w:color w:val="000000"/>
          <w:sz w:val="21"/>
          <w:szCs w:val="21"/>
          <w:lang w:val="bs-BA" w:eastAsia="bs-BA"/>
        </w:rPr>
      </w:pPr>
      <w:r>
        <w:rPr>
          <w:rFonts w:cs="Arial" w:ascii="Arial" w:hAnsi="Arial"/>
          <w:b/>
          <w:color w:val="000000"/>
          <w:sz w:val="21"/>
          <w:szCs w:val="21"/>
          <w:lang w:val="bs-BA" w:eastAsia="bs-BA"/>
        </w:rPr>
        <w:t xml:space="preserve">P  R  I   J E  D  L  O  G    O  D  L  U  K  E</w:t>
      </w:r>
    </w:p>
    <w:p>
      <w:pPr>
        <w:pStyle w:val="Normal"/>
        <w:jc w:val="center"/>
        <w:rPr>
          <w:rFonts w:ascii="Arial" w:hAnsi="Arial" w:cs="Arial"/>
          <w:b/>
          <w:caps/>
          <w:sz w:val="21"/>
          <w:szCs w:val="21"/>
          <w:lang w:val="bs-BA"/>
        </w:rPr>
      </w:pPr>
      <w:r>
        <w:rPr>
          <w:rFonts w:cs="Arial" w:ascii="Arial" w:hAnsi="Arial"/>
          <w:b/>
          <w:caps/>
          <w:sz w:val="21"/>
          <w:szCs w:val="21"/>
          <w:lang w:val="bs-BA"/>
        </w:rPr>
        <w:t xml:space="preserve">O ODOBRENJU SREDSTAVA ZA NABAVKU AUTONOMNOG HIBRIDNOG SISTEMA NAPAJANJA NA BAZNIM STANICAMA SJEDNICA (BILEĆA) I HAMZIĆI (ČITLUK)</w:t>
      </w:r>
    </w:p>
    <w:p>
      <w:pPr>
        <w:pStyle w:val="Normal"/>
        <w:jc w:val="center"/>
        <w:rPr>
          <w:rFonts w:ascii="Arial" w:hAnsi="Arial" w:cs="Arial"/>
          <w:b/>
          <w:caps/>
          <w:sz w:val="21"/>
          <w:szCs w:val="21"/>
          <w:lang w:val="bs-BA"/>
        </w:rPr>
      </w:pPr>
      <w:r>
        <w:rPr>
          <w:rFonts w:cs="Arial" w:ascii="Arial" w:hAnsi="Arial"/>
          <w:b/>
          <w:caps/>
          <w:sz w:val="21"/>
          <w:szCs w:val="21"/>
          <w:lang w:val="bs-BA"/>
        </w:rPr>
        <w:t xml:space="preserve">I</w:t>
      </w:r>
    </w:p>
    <w:p>
      <w:pPr>
        <w:pStyle w:val="Default"/>
        <w:jc w:val="both"/>
        <w:rPr>
          <w:sz w:val="21"/>
          <w:szCs w:val="21"/>
        </w:rPr>
      </w:pPr>
      <w:r>
        <w:rPr>
          <w:sz w:val="21"/>
          <w:szCs w:val="21"/>
        </w:rPr>
        <w:t xml:space="preserve">Odobravaju se sredstva za nabavku i instalaciju autonomnog hibridnog sistema napajanja na baznim stanicama Sjednica (Bileća) i Hamzići (Čitluk), sa pratećim elektromontažnim i građevinskim radovimasa podjelom na dva LOT-a:</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 xml:space="preserve">LOT 1 – izgradnja temelja, isporuka i montaža nosača za fotonaponske panele (ground mount support) - 6 kpl (3 kpl po lokaciji),</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 xml:space="preserve">LOT 2 – isporuka i instalacija dva agregatska postrojenja 18 kVA (po jedno na svakoj lokaciji) za montažu u postojeće kontejnere sa spremnikom goriva 500 l, ožičenje, testiranje i puštanje u rad hibridnih sistema, te demontaža postojećeg klima-uređaja na lokaciji Hamzići.</w:t>
      </w:r>
    </w:p>
    <w:p>
      <w:pPr>
        <w:pStyle w:val="Normal"/>
        <w:jc w:val="center"/>
        <w:rPr>
          <w:rFonts w:ascii="Arial" w:hAnsi="Arial" w:cs="Arial"/>
          <w:b/>
          <w:sz w:val="21"/>
          <w:szCs w:val="21"/>
          <w:lang w:val="bs-BA"/>
        </w:rPr>
      </w:pPr>
      <w:r>
        <w:rPr>
          <w:rFonts w:cs="Arial" w:ascii="Arial" w:hAnsi="Arial"/>
          <w:b/>
          <w:sz w:val="21"/>
          <w:szCs w:val="21"/>
          <w:lang w:val="bs-BA"/>
        </w:rPr>
        <w:t xml:space="preserve">II</w:t>
      </w:r>
    </w:p>
    <w:p>
      <w:pPr>
        <w:pStyle w:val="Normal"/>
        <w:jc w:val="both"/>
        <w:rPr>
          <w:rFonts w:ascii="Arial" w:hAnsi="Arial" w:cs="Arial"/>
          <w:sz w:val="21"/>
          <w:szCs w:val="21"/>
          <w:lang w:val="bs-BA"/>
        </w:rPr>
      </w:pPr>
      <w:r>
        <w:rPr>
          <w:rFonts w:cs="Arial" w:ascii="Arial" w:hAnsi="Arial"/>
          <w:sz w:val="21"/>
          <w:szCs w:val="21"/>
          <w:lang w:val="bs-BA"/>
        </w:rPr>
        <w:t xml:space="preserve">Predračunska vrijednost sredstava iz tačke I ove Odluke iznosi ukupno </w:t>
      </w:r>
      <w:r>
        <w:rPr>
          <w:rFonts w:cs="Arial" w:ascii="Arial" w:hAnsi="Arial"/>
          <w:sz w:val="21"/>
          <w:szCs w:val="21"/>
          <w:lang w:val="bs-BA"/>
        </w:rPr>
        <w:t xml:space="preserve">___.___,__ KM</w:t>
      </w:r>
      <w:r>
        <w:rPr>
          <w:rFonts w:cs="Arial" w:ascii="Arial" w:hAnsi="Arial"/>
          <w:sz w:val="21"/>
          <w:szCs w:val="21"/>
          <w:lang w:val="bs-BA"/>
        </w:rPr>
        <w:t xml:space="preserve"> (slovima: ______________ konvertibilnih maraka) bez PDV-a, od čega se iznos od ___.___,__ KM odnosi na LOT 1, a iznos od ___.___,__ KM na LOT 2. </w:t>
      </w:r>
      <w:r>
        <w:rPr>
          <w:rFonts w:cs="Arial" w:ascii="Arial" w:hAnsi="Arial"/>
          <w:sz w:val="21"/>
          <w:szCs w:val="21"/>
          <w:lang w:val="bs-BA"/>
        </w:rPr>
        <w:t xml:space="preserve"/>
      </w:r>
      <w:r>
        <w:rPr>
          <w:rFonts w:cs="Arial" w:ascii="Arial" w:hAnsi="Arial"/>
          <w:sz w:val="21"/>
          <w:szCs w:val="21"/>
          <w:lang w:val="bs-BA"/>
        </w:rPr>
        <w:t xml:space="preserve"/>
      </w:r>
      <w:r>
        <w:rPr>
          <w:rFonts w:cs="Arial" w:ascii="Arial" w:hAnsi="Arial"/>
          <w:sz w:val="21"/>
          <w:szCs w:val="21"/>
          <w:lang w:val="bs-BA"/>
        </w:rPr>
        <w:t xml:space="preserve"/>
      </w:r>
      <w:r>
        <w:rPr>
          <w:rFonts w:cs="Arial" w:ascii="Arial" w:hAnsi="Arial"/>
          <w:sz w:val="21"/>
          <w:szCs w:val="21"/>
          <w:lang w:val="bs-BA"/>
        </w:rPr>
        <w:t xml:space="preserve">Sredstva su finansijski raspoloživa u toku poslovne 2026. godine.</w:t>
      </w:r>
    </w:p>
    <w:p>
      <w:pPr>
        <w:pStyle w:val="NoSpacing"/>
        <w:jc w:val="center"/>
        <w:rPr>
          <w:rFonts w:ascii="Arial" w:hAnsi="Arial" w:cs="Arial"/>
          <w:sz w:val="21"/>
          <w:szCs w:val="21"/>
          <w:lang w:val="bs-BA"/>
        </w:rPr>
      </w:pPr>
      <w:r>
        <w:rPr>
          <w:rFonts w:cs="Arial" w:ascii="Arial" w:hAnsi="Arial"/>
          <w:b/>
          <w:sz w:val="21"/>
          <w:szCs w:val="21"/>
          <w:lang w:val="bs-BA"/>
        </w:rPr>
        <w:t xml:space="preserve">III</w:t>
      </w:r>
    </w:p>
    <w:p>
      <w:pPr>
        <w:pStyle w:val="Normal"/>
        <w:jc w:val="center"/>
        <w:rPr>
          <w:rFonts w:ascii="Arial" w:hAnsi="Arial" w:cs="Arial"/>
          <w:sz w:val="21"/>
          <w:szCs w:val="21"/>
          <w:lang w:val="bs-BA"/>
        </w:rPr>
      </w:pPr>
      <w:r>
        <w:rPr>
          <w:rFonts w:cs="Arial" w:ascii="Arial" w:hAnsi="Arial"/>
          <w:sz w:val="21"/>
          <w:szCs w:val="21"/>
          <w:lang w:val="bs-BA"/>
        </w:rPr>
        <w:t xml:space="preserve">Sredstva za realizaciju ove Odluke predviđena su</w:t>
      </w:r>
    </w:p>
    <w:p>
      <w:pPr>
        <w:pStyle w:val="Normal"/>
        <w:jc w:val="both"/>
        <w:rPr>
          <w:rFonts w:ascii="Arial" w:hAnsi="Arial" w:cs="Arial"/>
          <w:sz w:val="21"/>
          <w:szCs w:val="21"/>
          <w:lang w:val="bs-BA"/>
        </w:rPr>
      </w:pPr>
      <w:bookmarkStart w:id="6" w:name="_Hlk93048526"/>
      <w:r>
        <w:rPr>
          <w:rFonts w:cs="Arial" w:ascii="Arial" w:hAnsi="Arial"/>
          <w:sz w:val="21"/>
          <w:szCs w:val="21"/>
          <w:lang w:val="bs-BA"/>
        </w:rPr>
        <w:t xml:space="preserve">Trogodišnjim planom poslovanja Dioničkog Društva BH Telecom Sarajevo za period </w:t>
      </w:r>
      <w:r>
        <w:rPr>
          <w:rFonts w:cs="Arial" w:ascii="Arial" w:hAnsi="Arial"/>
          <w:iCs/>
          <w:sz w:val="21"/>
          <w:szCs w:val="21"/>
          <w:lang w:val="bs-BA"/>
        </w:rPr>
        <w:t xml:space="preserve">01.01.2025. do 31.12.2027. godine, broj: 00.1-03-74251/25-5 od 24.10.2025. godine, str.27/67, Tabela 1.</w:t>
      </w:r>
    </w:p>
    <w:p>
      <w:pPr>
        <w:pStyle w:val="Normal"/>
        <w:jc w:val="both"/>
        <w:rPr>
          <w:rFonts w:ascii="Arial" w:hAnsi="Arial" w:cs="Arial"/>
          <w:b/>
          <w:sz w:val="21"/>
          <w:szCs w:val="21"/>
          <w:lang w:val="bs-BA"/>
        </w:rPr>
      </w:pP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color w:val="000000"/>
          <w:sz w:val="21"/>
          <w:szCs w:val="21"/>
          <w:highlight w:val="yellow"/>
          <w:lang w:val="bs-BA"/>
        </w:rPr>
        <w:t xml:space="preserve">14/IP SIGURNOST, r.br. 14.6-18/PROJEKAT- ENERGETIKA I KLIMATIZACIJA, r.br. 18.1 – „Nadzor i upravljanje energetikom“, r.br.18.4-„ Agregatska postrojenja za RR čvorišta - nove lokacije”</w:t>
      </w:r>
    </w:p>
    <w:p>
      <w:pPr>
        <w:pStyle w:val="Normal"/>
        <w:jc w:val="center"/>
        <w:rPr>
          <w:rFonts w:ascii="Arial" w:hAnsi="Arial" w:cs="Arial"/>
          <w:sz w:val="21"/>
          <w:szCs w:val="21"/>
          <w:lang w:val="bs-BA"/>
        </w:rPr>
      </w:pPr>
      <w:r>
        <w:rPr>
          <w:rFonts w:cs="Arial" w:ascii="Arial" w:hAnsi="Arial"/>
          <w:b/>
          <w:sz w:val="21"/>
          <w:szCs w:val="21"/>
          <w:lang w:val="bs-BA"/>
        </w:rPr>
        <w:t xml:space="preserve">IV</w:t>
      </w:r>
    </w:p>
    <w:p>
      <w:pPr>
        <w:pStyle w:val="Normal"/>
        <w:jc w:val="center"/>
        <w:rPr>
          <w:rFonts w:ascii="Arial" w:hAnsi="Arial" w:cs="Arial"/>
          <w:b/>
          <w:sz w:val="21"/>
          <w:szCs w:val="21"/>
          <w:lang w:val="bs-BA"/>
        </w:rPr>
      </w:pPr>
      <w:r>
        <w:rPr>
          <w:rFonts w:cs="Arial" w:ascii="Arial" w:hAnsi="Arial"/>
          <w:b/>
          <w:sz w:val="21"/>
          <w:szCs w:val="21"/>
          <w:lang w:val="bs-BA"/>
        </w:rPr>
        <w:t xml:space="preserve">Rok za realizaciju Odluke je 31.12.2026. godine.</w:t>
      </w:r>
      <w:bookmarkEnd w:id="6"/>
    </w:p>
    <w:p>
      <w:pPr>
        <w:pStyle w:val="Normal"/>
        <w:jc w:val="center"/>
        <w:rPr>
          <w:rFonts w:ascii="Arial" w:hAnsi="Arial" w:cs="Arial"/>
          <w:b/>
          <w:sz w:val="21"/>
          <w:szCs w:val="21"/>
          <w:lang w:val="bs-BA"/>
        </w:rPr>
      </w:pPr>
      <w:r>
        <w:rPr>
          <w:rFonts w:cs="Arial" w:ascii="Arial" w:hAnsi="Arial"/>
          <w:b/>
          <w:sz w:val="21"/>
          <w:szCs w:val="21"/>
          <w:lang w:val="bs-BA"/>
        </w:rPr>
        <w:t xml:space="preserve">V</w:t>
      </w:r>
    </w:p>
    <w:p>
      <w:pPr>
        <w:pStyle w:val="Normal"/>
        <w:jc w:val="both"/>
        <w:rPr>
          <w:rFonts w:ascii="Arial" w:hAnsi="Arial" w:cs="Arial"/>
          <w:sz w:val="21"/>
          <w:szCs w:val="21"/>
          <w:lang w:val="bs-BA"/>
        </w:rPr>
      </w:pPr>
      <w:r>
        <w:rPr>
          <w:rFonts w:cs="Arial" w:ascii="Arial" w:hAnsi="Arial"/>
          <w:sz w:val="21"/>
          <w:szCs w:val="21"/>
          <w:lang w:val="bs-BA"/>
        </w:rPr>
        <w:t xml:space="preserve">Za realizaciju ove Odluke zadužuje se Izvršni direktor Izvršne direkcije za investicije koji će svojim Rješenjem u saradnji sa  izvršnim direktorom Izvršne direkcije za tehnologiju i razvoj servisa precizirati zaduženja po tehnološkim procesima.</w:t>
      </w:r>
    </w:p>
    <w:p>
      <w:pPr>
        <w:pStyle w:val="Normal"/>
        <w:jc w:val="center"/>
        <w:rPr>
          <w:rFonts w:ascii="Arial" w:hAnsi="Arial" w:cs="Arial"/>
          <w:b/>
          <w:sz w:val="21"/>
          <w:szCs w:val="21"/>
          <w:lang w:val="bs-BA"/>
        </w:rPr>
      </w:pPr>
      <w:r>
        <w:rPr>
          <w:rFonts w:cs="Arial" w:ascii="Arial" w:hAnsi="Arial"/>
          <w:b/>
          <w:sz w:val="21"/>
          <w:szCs w:val="21"/>
          <w:lang w:val="bs-BA"/>
        </w:rPr>
        <w:t xml:space="preserve">VI</w:t>
      </w:r>
    </w:p>
    <w:p>
      <w:pPr>
        <w:pStyle w:val="Normal"/>
        <w:jc w:val="both"/>
        <w:rPr>
          <w:rFonts w:ascii="Arial" w:hAnsi="Arial" w:cs="Arial"/>
          <w:sz w:val="21"/>
          <w:szCs w:val="21"/>
          <w:lang w:val="bs-BA"/>
        </w:rPr>
      </w:pPr>
      <w:r>
        <w:rPr>
          <w:rFonts w:cs="Arial" w:ascii="Arial" w:hAnsi="Arial"/>
          <w:sz w:val="21"/>
          <w:szCs w:val="21"/>
          <w:lang w:val="bs-BA"/>
        </w:rPr>
        <w:t xml:space="preserve">Sastavni dio ove Odluke je Obrazloženje, broj: 04.5.1-14</w:t>
      </w:r>
      <w:r>
        <w:rPr>
          <w:rFonts w:cs="Arial" w:ascii="Arial" w:hAnsi="Arial"/>
          <w:sz w:val="21"/>
          <w:szCs w:val="21"/>
          <w:highlight w:val="yellow"/>
          <w:lang w:val="bs-BA"/>
        </w:rPr>
        <w:t xml:space="preserve">-_______/-1/26 od __.__.2026. godine.</w:t>
      </w:r>
    </w:p>
    <w:p>
      <w:pPr>
        <w:pStyle w:val="Normal"/>
        <w:tabs>
          <w:tab w:val="clear" w:pos="709"/>
          <w:tab w:val="left" w:pos="360" w:leader="none"/>
        </w:tabs>
        <w:spacing w:before="0" w:after="0"/>
        <w:contextualSpacing/>
        <w:jc w:val="center"/>
        <w:rPr>
          <w:rFonts w:ascii="Arial" w:hAnsi="Arial" w:cs="Arial"/>
          <w:b/>
          <w:sz w:val="21"/>
          <w:szCs w:val="21"/>
          <w:lang w:val="bs-BA"/>
        </w:rPr>
      </w:pPr>
      <w:r>
        <w:rPr>
          <w:rFonts w:cs="Arial" w:ascii="Arial" w:hAnsi="Arial"/>
          <w:b/>
          <w:sz w:val="21"/>
          <w:szCs w:val="21"/>
          <w:lang w:val="bs-BA"/>
        </w:rPr>
        <w:t xml:space="preserve">VII</w:t>
      </w:r>
    </w:p>
    <w:p>
      <w:pPr>
        <w:pStyle w:val="Normal"/>
        <w:spacing w:before="0" w:after="240"/>
        <w:jc w:val="center"/>
        <w:rPr>
          <w:rFonts w:ascii="Arial" w:hAnsi="Arial" w:cs="Arial"/>
          <w:sz w:val="21"/>
          <w:szCs w:val="21"/>
          <w:lang w:val="bs-BA"/>
        </w:rPr>
      </w:pPr>
      <w:r>
        <w:rPr>
          <w:rFonts w:cs="Arial" w:ascii="Arial" w:hAnsi="Arial"/>
          <w:sz w:val="21"/>
          <w:szCs w:val="21"/>
          <w:lang w:val="bs-BA"/>
        </w:rPr>
        <w:t xml:space="preserve">Odluka stupa na snagu sa danom donošenja.</w:t>
      </w:r>
    </w:p>
    <w:p>
      <w:pPr>
        <w:pStyle w:val="Normal"/>
        <w:ind w:start="4956"/>
        <w:rPr>
          <w:rFonts w:ascii="Arial" w:hAnsi="Arial" w:cs="Arial"/>
          <w:b/>
          <w:sz w:val="21"/>
          <w:szCs w:val="21"/>
          <w:lang w:val="bs-BA"/>
        </w:rPr>
      </w:pPr>
      <w:r>
        <mc:AlternateContent>
          <mc:Choice Requires="wps">
            <w:drawing>
              <wp:anchor distT="45085" distB="45720" distL="113665" distR="114300" simplePos="0" relativeHeight="19" behindDoc="0" locked="0" layoutInCell="0" allowOverlap="1" wp14:anchorId="4B28153F">
                <wp:simplePos x="0" y="0"/>
                <wp:positionH relativeFrom="column">
                  <wp:posOffset>-7620</wp:posOffset>
                </wp:positionH>
                <wp:positionV relativeFrom="paragraph">
                  <wp:posOffset>154940</wp:posOffset>
                </wp:positionV>
                <wp:extent cx="1504315" cy="878205"/>
                <wp:effectExtent l="0" t="0" r="635" b="0"/>
                <wp:wrapSquare wrapText="bothSides"/>
                <wp:docPr id="33" name="Text Box 2"/>
                <a:graphic xmlns:a="http://schemas.openxmlformats.org/drawingml/2006/main">
                  <a:graphicData uri="http://schemas.microsoft.com/office/word/2010/wordprocessingShape">
                    <wps:wsp>
                      <wps:cNvSpPr/>
                      <wps:spPr>
                        <a:xfrm>
                          <a:off x="0" y="0"/>
                          <a:ext cx="1504440" cy="878040"/>
                        </a:xfrm>
                        <a:prstGeom prst="rect">
                          <a:avLst/>
                        </a:prstGeom>
                        <a:solidFill>
                          <a:srgbClr val="FFFFFF"/>
                        </a:solidFill>
                        <a:ln w="9525">
                          <a:noFill/>
                        </a:ln>
                      </wps:spPr>
                      <wps:style>
                        <a:lnRef idx="0"/>
                        <a:fillRef idx="0"/>
                        <a:effectRef idx="0"/>
                        <a:fontRef idx="minor"/>
                      </wps:style>
                      <wps:txbx>
                        <w:txbxContent>
                          <w:p>
                            <w:pPr>
                              <w:pStyle w:val="FrameContents"/>
                              <w:jc w:val="both"/>
                              <w:rPr>
                                <w:rFonts w:ascii="Arial" w:hAnsi="Arial" w:cs="Arial"/>
                                <w:sz w:val="20"/>
                                <w:szCs w:val="20"/>
                              </w:rPr>
                            </w:pPr>
                            <w:r>
                              <w:rPr>
                                <w:rFonts w:cs="Arial"/>
                                <w:sz w:val="20"/>
                                <w:szCs w:val="20"/>
                              </w:rPr>
                              <w:t xml:space="preserve">DOSTAVITI:</w:t>
                              <w:tab/>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PPUOLJR</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EFP</w:t>
                            </w:r>
                          </w:p>
                          <w:p>
                            <w:pPr>
                              <w:pStyle w:val="FrameContents"/>
                              <w:rPr/>
                            </w:pPr>
                            <w:r>
                              <w:rPr/>
                            </w:r>
                          </w:p>
                        </w:txbxContent>
                      </wps:txbx>
                      <wps:bodyPr anchor="t">
                        <a:noAutofit/>
                      </wps:bodyPr>
                    </wps:wsp>
                  </a:graphicData>
                </a:graphic>
              </wp:anchor>
            </w:drawing>
          </mc:Choice>
          <mc:Fallback>
            <w:pict>
              <v:rect id="shape_0" fillcolor="white" stroked="f" o:allowincell="f" style="position:absolute;margin-left:-0.6pt;margin-top:12.2pt;width:118.4pt;height:69.1pt;mso-wrap-style:square;v-text-anchor:top" wp14:anchorId="4B28153F">
                <v:fill o:detectmouseclick="t" type="solid" color2="black"/>
                <v:stroke color="#3465a4" weight="9360" joinstyle="miter" endcap="flat"/>
                <v:textbox>
                  <w:txbxContent>
                    <w:p>
                      <w:pPr>
                        <w:pStyle w:val="FrameContents"/>
                        <w:jc w:val="both"/>
                        <w:rPr>
                          <w:rFonts w:ascii="Arial" w:hAnsi="Arial" w:cs="Arial"/>
                          <w:sz w:val="20"/>
                          <w:szCs w:val="20"/>
                        </w:rPr>
                      </w:pPr>
                      <w:r>
                        <w:rPr>
                          <w:rFonts w:cs="Arial"/>
                          <w:sz w:val="20"/>
                          <w:szCs w:val="20"/>
                        </w:rPr>
                        <w:t xml:space="preserve">DOSTAVITI:</w:t>
                        <w:tab/>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PPUOLJR</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EFP</w:t>
                      </w:r>
                    </w:p>
                    <w:p>
                      <w:pPr>
                        <w:pStyle w:val="FrameContents"/>
                        <w:rPr/>
                      </w:pPr>
                      <w:r>
                        <w:rPr/>
                      </w:r>
                    </w:p>
                  </w:txbxContent>
                </v:textbox>
                <w10:wrap type="square"/>
              </v:rect>
            </w:pict>
          </mc:Fallback>
        </mc:AlternateContent>
      </w:r>
      <w:r>
        <w:rPr>
          <w:rFonts w:cs="Arial" w:ascii="Arial" w:hAnsi="Arial"/>
          <w:b/>
          <w:sz w:val="21"/>
          <w:szCs w:val="21"/>
          <w:lang w:val="bs-BA"/>
        </w:rPr>
        <w:t xml:space="preserve">                      </w:t>
      </w:r>
      <w:r>
        <w:rPr>
          <w:rFonts w:cs="Arial" w:ascii="Arial" w:hAnsi="Arial"/>
          <w:b/>
          <w:sz w:val="21"/>
          <w:szCs w:val="21"/>
          <w:lang w:val="bs-BA"/>
        </w:rPr>
        <w:t xml:space="preserve">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 xml:space="preserve">Saša Palinić</w:t>
      </w:r>
    </w:p>
    <w:p>
      <w:pPr>
        <w:pStyle w:val="ListParagraph"/>
        <w:tabs>
          <w:tab w:val="clear" w:pos="709"/>
          <w:tab w:val="left" w:pos="1180" w:leader="none"/>
        </w:tabs>
        <w:ind w:start="0"/>
        <w:rPr>
          <w:rFonts w:ascii="Arial" w:hAnsi="Arial" w:cs="Arial"/>
          <w:sz w:val="21"/>
          <w:szCs w:val="21"/>
          <w:lang w:val="bs-BA"/>
        </w:rPr>
      </w:pPr>
      <w:r>
        <w:rPr>
          <w:rFonts w:cs="Arial" w:ascii="Arial" w:hAnsi="Arial"/>
          <w:sz w:val="21"/>
          <w:szCs w:val="21"/>
          <w:lang w:val="bs-BA"/>
        </w:rPr>
      </w:r>
    </w:p>
    <w:p>
      <w:pPr>
        <w:pStyle w:val="ListParagraph"/>
        <w:tabs>
          <w:tab w:val="clear" w:pos="709"/>
          <w:tab w:val="left" w:pos="1180" w:leader="none"/>
        </w:tabs>
        <w:ind w:start="0"/>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ListParagraph"/>
        <w:tabs>
          <w:tab w:val="clear" w:pos="709"/>
          <w:tab w:val="left" w:pos="1180" w:leader="none"/>
        </w:tabs>
        <w:spacing w:before="0" w:after="0"/>
        <w:ind w:start="0"/>
        <w:rPr>
          <w:rFonts w:ascii="Arial" w:hAnsi="Arial" w:cs="Arial"/>
          <w:b/>
          <w:sz w:val="21"/>
          <w:szCs w:val="21"/>
          <w:lang w:val="bs-BA"/>
        </w:rPr>
      </w:pPr>
      <w:r>
        <w:rPr>
          <w:rFonts w:cs="Arial" w:ascii="Arial" w:hAnsi="Arial"/>
          <w:b/>
          <w:sz w:val="21"/>
          <w:szCs w:val="21"/>
          <w:lang w:val="bs-BA"/>
        </w:rPr>
        <w:t xml:space="preserve">Broj: 04.5.1-14- </w:t>
      </w:r>
      <w:r>
        <w:rPr>
          <w:rFonts w:cs="Arial" w:ascii="Arial" w:hAnsi="Arial"/>
          <w:b/>
          <w:sz w:val="21"/>
          <w:szCs w:val="21"/>
          <w:highlight w:val="yellow"/>
          <w:lang w:val="bs-BA"/>
        </w:rPr>
        <w:t xml:space="preserve">_________</w:t>
      </w:r>
      <w:r>
        <w:rPr>
          <w:rFonts w:cs="Arial" w:ascii="Arial" w:hAnsi="Arial"/>
          <w:b/>
          <w:sz w:val="21"/>
          <w:szCs w:val="21"/>
          <w:lang w:val="bs-BA"/>
        </w:rPr>
        <w:t xml:space="preserve">-1/26</w:t>
      </w:r>
    </w:p>
    <w:p>
      <w:pPr>
        <w:pStyle w:val="ListParagraph"/>
        <w:ind w:start="0"/>
        <w:rPr>
          <w:rFonts w:ascii="Arial" w:hAnsi="Arial" w:cs="Arial"/>
          <w:b/>
          <w:sz w:val="21"/>
          <w:szCs w:val="21"/>
          <w:lang w:val="bs-BA"/>
        </w:rPr>
      </w:pPr>
      <w:r>
        <w:rPr>
          <w:rFonts w:cs="Arial" w:ascii="Arial" w:hAnsi="Arial"/>
          <w:b/>
          <w:sz w:val="21"/>
          <w:szCs w:val="21"/>
          <w:lang w:val="bs-BA"/>
        </w:rPr>
        <w:t xml:space="preserve">Sarajevo</w:t>
      </w:r>
      <w:r>
        <w:rPr>
          <w:rFonts w:cs="Arial" w:ascii="Arial" w:hAnsi="Arial"/>
          <w:b/>
          <w:sz w:val="21"/>
          <w:szCs w:val="21"/>
          <w:highlight w:val="yellow"/>
          <w:lang w:val="bs-BA"/>
        </w:rPr>
        <w:t xml:space="preserve">, __.__.</w:t>
      </w:r>
      <w:r>
        <w:rPr>
          <w:rFonts w:cs="Arial" w:ascii="Arial" w:hAnsi="Arial"/>
          <w:b/>
          <w:sz w:val="21"/>
          <w:szCs w:val="21"/>
          <w:lang w:val="bs-BA"/>
        </w:rPr>
        <w:t xml:space="preserve">2026.godine </w:t>
      </w:r>
    </w:p>
    <w:p>
      <w:pPr>
        <w:pStyle w:val="ListParagraph"/>
        <w:ind w:start="0"/>
        <w:jc w:val="center"/>
        <w:rPr>
          <w:rFonts w:ascii="Arial" w:hAnsi="Arial" w:cs="Arial"/>
          <w:b/>
          <w:sz w:val="21"/>
          <w:szCs w:val="21"/>
          <w:lang w:val="bs-BA"/>
        </w:rPr>
      </w:pPr>
      <w:r>
        <w:rPr>
          <w:rFonts w:cs="Arial" w:ascii="Arial" w:hAnsi="Arial"/>
          <w:b/>
          <w:sz w:val="21"/>
          <w:szCs w:val="21"/>
          <w:lang w:val="bs-BA"/>
        </w:rPr>
        <w:t xml:space="preserve">ANEKS 2</w:t>
      </w:r>
    </w:p>
    <w:p>
      <w:pPr>
        <w:pStyle w:val="Normal"/>
        <w:jc w:val="center"/>
        <w:rPr>
          <w:rFonts w:ascii="Arial" w:hAnsi="Arial" w:cs="Arial"/>
          <w:b/>
          <w:sz w:val="21"/>
          <w:szCs w:val="21"/>
          <w:lang w:val="bs-BA"/>
        </w:rPr>
      </w:pPr>
      <w:r>
        <w:rPr>
          <w:rFonts w:cs="Arial" w:ascii="Arial" w:hAnsi="Arial"/>
          <w:b/>
          <w:sz w:val="21"/>
          <w:szCs w:val="21"/>
          <w:lang w:val="bs-BA"/>
        </w:rPr>
        <w:t xml:space="preserve">OBRAZLOŽENJE</w:t>
      </w:r>
    </w:p>
    <w:p>
      <w:pPr>
        <w:pStyle w:val="Normal"/>
        <w:jc w:val="center"/>
        <w:rPr>
          <w:rFonts w:ascii="Arial" w:hAnsi="Arial" w:cs="Arial"/>
          <w:b/>
          <w:caps/>
          <w:sz w:val="21"/>
          <w:szCs w:val="21"/>
          <w:lang w:val="bs-BA"/>
        </w:rPr>
      </w:pPr>
      <w:r>
        <w:rPr>
          <w:rFonts w:cs="Arial" w:ascii="Arial" w:hAnsi="Arial"/>
          <w:b/>
          <w:caps/>
          <w:sz w:val="21"/>
          <w:szCs w:val="21"/>
          <w:lang w:val="bs-BA"/>
        </w:rPr>
        <w:t xml:space="preserve">PRIJEDLOGA ODLUKE O ODOBRENJU SREDSTAVA ZA NABAVKU AUTONOMNOG HIBRIDNOG SISTEMA NAPAJANJA NA BAZNIM STANICAMA SJEDNICA (BILEĆA) I HAMZIĆI (ČITLUK)</w:t>
      </w:r>
    </w:p>
    <w:tbl>
      <w:tblPr>
        <w:tblW w:w="9840" w:type="dxa"/>
        <w:jc w:val="start"/>
        <w:tblInd w:w="-136" w:type="dxa"/>
        <w:tblLayout w:type="fixed"/>
        <w:tblCellMar>
          <w:top w:w="0" w:type="dxa"/>
          <w:start w:w="108" w:type="dxa"/>
          <w:bottom w:w="0" w:type="dxa"/>
          <w:end w:w="108" w:type="dxa"/>
        </w:tblCellMar>
        <w:tblLook w:val="0000" w:firstRow="0" w:noVBand="0" w:lastRow="0" w:firstColumn="0" w:lastColumn="0" w:noHBand="0"/>
      </w:tblPr>
      <w:tblGrid>
        <w:gridCol w:w="9840"/>
      </w:tblGrid>
      <w:tr>
        <w:trPr>
          <w:trHeight w:val="2473"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 xml:space="preserve">Opšti planski dio</w:t>
            </w:r>
          </w:p>
          <w:p>
            <w:pPr>
              <w:pStyle w:val="NoSpacing"/>
              <w:tabs>
                <w:tab w:val="clear" w:pos="709"/>
                <w:tab w:val="left" w:pos="1155" w:leader="none"/>
              </w:tabs>
              <w:suppressAutoHyphens w:val="false"/>
              <w:jc w:val="both"/>
              <w:rPr>
                <w:rFonts w:ascii="Arial" w:hAnsi="Arial" w:cs="Arial"/>
                <w:b/>
                <w:sz w:val="21"/>
                <w:szCs w:val="21"/>
                <w:lang w:val="bs-BA" w:eastAsia="hr-HR"/>
              </w:rPr>
            </w:pPr>
            <w:r>
              <w:rPr>
                <w:rFonts w:cs="Arial" w:ascii="Arial" w:hAnsi="Arial"/>
                <w:color w:val="000000"/>
                <w:sz w:val="21"/>
                <w:szCs w:val="21"/>
                <w:lang w:val="bs-BA"/>
              </w:rPr>
              <w:t xml:space="preserve">Sredstva za realizaciju ove Odluke predviđena su </w:t>
            </w:r>
            <w:r>
              <w:rPr>
                <w:rFonts w:cs="Arial" w:ascii="Arial" w:hAnsi="Arial"/>
                <w:sz w:val="21"/>
                <w:szCs w:val="21"/>
                <w:lang w:val="bs-BA" w:eastAsia="bs-BA"/>
              </w:rPr>
              <w:t xml:space="preserve">Trogodišnjim planom poslovanja Dioničkog Društva BH Telecom Sarajevo za period </w:t>
            </w:r>
            <w:r>
              <w:rPr>
                <w:rFonts w:cs="Arial" w:ascii="Arial" w:hAnsi="Arial"/>
                <w:iCs/>
                <w:sz w:val="21"/>
                <w:szCs w:val="21"/>
                <w:lang w:val="bs-BA"/>
              </w:rPr>
              <w:t xml:space="preserve">01.01.2025. do 31.12.2027. godine, broj: 00.1-03-74251/25-5 od 24.10.2025. godine, str.27/67, Tabela 1.</w:t>
            </w:r>
            <w:r>
              <w:rPr>
                <w:rFonts w:cs="Arial" w:ascii="Arial" w:hAnsi="Arial"/>
                <w:color w:val="000000"/>
                <w:sz w:val="21"/>
                <w:szCs w:val="21"/>
                <w:lang w:val="bs-BA"/>
              </w:rPr>
              <w:t xml:space="preserve"> i </w:t>
            </w: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sz w:val="21"/>
                <w:szCs w:val="21"/>
                <w:highlight w:val="cyan"/>
                <w:lang w:val="bs-BA"/>
              </w:rPr>
              <w:t xml:space="preserve">redni broj 14/IP SIGURNOST, r.br. 14.6- Sigurnosne platforme za 5G , redni broj </w:t>
            </w:r>
            <w:r>
              <w:rPr>
                <w:rFonts w:cs="Arial" w:ascii="Arial" w:hAnsi="Arial"/>
                <w:color w:val="000000"/>
                <w:sz w:val="21"/>
                <w:szCs w:val="21"/>
                <w:highlight w:val="cyan"/>
                <w:lang w:val="bs-BA"/>
              </w:rPr>
              <w:t xml:space="preserve">18/PROJEKAT- ENERGETIKA I KLIMATIZACIJA, r.br.</w:t>
            </w:r>
            <w:r>
              <w:rPr>
                <w:rFonts w:cs="Arial" w:ascii="Arial" w:hAnsi="Arial"/>
                <w:sz w:val="21"/>
                <w:szCs w:val="21"/>
                <w:highlight w:val="cyan"/>
                <w:lang w:val="bs-BA"/>
              </w:rPr>
              <w:t xml:space="preserve"> </w:t>
            </w:r>
            <w:r>
              <w:rPr>
                <w:rFonts w:cs="Arial" w:ascii="Arial" w:hAnsi="Arial"/>
                <w:color w:val="000000"/>
                <w:sz w:val="21"/>
                <w:szCs w:val="21"/>
                <w:highlight w:val="cyan"/>
                <w:lang w:val="bs-BA"/>
              </w:rPr>
              <w:t xml:space="preserve">18.1 – „Nadzor i upravljanje energetikom“, r.br.18.4-„</w:t>
            </w:r>
            <w:r>
              <w:rPr>
                <w:rFonts w:cs="Arial" w:ascii="Arial" w:hAnsi="Arial"/>
                <w:sz w:val="21"/>
                <w:szCs w:val="21"/>
                <w:highlight w:val="cyan"/>
                <w:lang w:val="bs-BA" w:eastAsia="en-US"/>
              </w:rPr>
              <w:t xml:space="preserve"> </w:t>
            </w:r>
            <w:r>
              <w:rPr>
                <w:rFonts w:cs="Arial" w:ascii="Arial" w:hAnsi="Arial"/>
                <w:color w:val="000000"/>
                <w:sz w:val="21"/>
                <w:szCs w:val="21"/>
                <w:highlight w:val="cyan"/>
                <w:lang w:val="bs-BA"/>
              </w:rPr>
              <w:t xml:space="preserve">Agregatska postrojenja za RR čvorišta - nove lokacije”</w:t>
            </w:r>
          </w:p>
        </w:tc>
      </w:tr>
      <w:tr>
        <w:trPr>
          <w:trHeight w:val="119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hd w:val="clear" w:color="auto" w:fill="FFFFFF"/>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 xml:space="preserve">Predračunska vrijednost i način procjene</w:t>
            </w:r>
          </w:p>
          <w:p>
            <w:pPr>
              <w:pStyle w:val="Default"/>
              <w:jc w:val="both"/>
              <w:rPr>
                <w:sz w:val="21"/>
                <w:szCs w:val="21"/>
              </w:rPr>
            </w:pPr>
            <w:r>
              <w:rPr>
                <w:sz w:val="21"/>
                <w:szCs w:val="21"/>
              </w:rPr>
              <w:t xml:space="preserve">Ukupna predračunska vrijednost sredstava iznosi </w:t>
            </w:r>
            <w:r>
              <w:rPr>
                <w:sz w:val="21"/>
                <w:szCs w:val="21"/>
              </w:rPr>
              <w:t xml:space="preserve">___.___,__ KM</w:t>
            </w:r>
            <w:r>
              <w:rPr>
                <w:sz w:val="21"/>
                <w:szCs w:val="21"/>
              </w:rPr>
              <w:t xml:space="preserve"> bez PDV-a (LOT 1 — </w:t>
            </w:r>
            <w:r>
              <w:rPr>
                <w:sz w:val="21"/>
                <w:szCs w:val="21"/>
              </w:rPr>
              <w:t xml:space="preserve">___.___,__ KM</w:t>
            </w:r>
            <w:r>
              <w:rPr>
                <w:sz w:val="21"/>
                <w:szCs w:val="21"/>
              </w:rPr>
              <w:t xml:space="preserve">, LOT 2 — </w:t>
            </w:r>
            <w:r>
              <w:rPr>
                <w:sz w:val="21"/>
                <w:szCs w:val="21"/>
              </w:rPr>
              <w:t xml:space="preserve">___.___,__ KM</w:t>
            </w:r>
            <w:r>
              <w:rPr>
                <w:sz w:val="21"/>
                <w:szCs w:val="21"/>
              </w:rPr>
              <w:t xml:space="preserve">), sa rokom realizacije Odluke do 31.12.2027. godine.</w:t>
            </w:r>
          </w:p>
          <w:p>
            <w:pPr>
              <w:pStyle w:val="Default"/>
              <w:jc w:val="both"/>
              <w:rPr>
                <w:sz w:val="21"/>
                <w:szCs w:val="21"/>
              </w:rPr>
            </w:pPr>
            <w:r>
              <w:rPr>
                <w:color w:val="auto"/>
                <w:sz w:val="21"/>
                <w:szCs w:val="21"/>
                <w:lang w:eastAsia="zh-CN"/>
              </w:rPr>
              <w:t xml:space="preserve">Navedena vrijednost je procijenjena na osnovu cijena iz prethodnih nabavki opreme ovog tipa, te na osnovu ispitivanja tržišta i informativnih ponuda prikupljenih putem RFI dokumenta „Autonomno napajanje za BS“ od 27.04.2026. godine. Ukupna procijenjena vrijednost nabavke iznosi </w:t>
            </w:r>
            <w:r>
              <w:rPr>
                <w:color w:val="auto"/>
                <w:sz w:val="21"/>
                <w:szCs w:val="21"/>
                <w:lang w:eastAsia="zh-CN"/>
              </w:rPr>
              <w:t xml:space="preserve">___.___,__ KM</w:t>
            </w:r>
            <w:r>
              <w:rPr>
                <w:color w:val="auto"/>
                <w:sz w:val="21"/>
                <w:szCs w:val="21"/>
                <w:lang w:eastAsia="zh-CN"/>
              </w:rPr>
              <w:t xml:space="preserve"> bez PDV-a, i to: LOT 1 </w:t>
            </w:r>
            <w:r>
              <w:rPr>
                <w:color w:val="auto"/>
                <w:sz w:val="21"/>
                <w:szCs w:val="21"/>
                <w:lang w:eastAsia="zh-CN"/>
              </w:rPr>
              <w:t xml:space="preserve">___.___,__ KM</w:t>
            </w:r>
            <w:r>
              <w:rPr>
                <w:color w:val="auto"/>
                <w:sz w:val="21"/>
                <w:szCs w:val="21"/>
                <w:lang w:eastAsia="zh-CN"/>
              </w:rPr>
              <w:t xml:space="preserve"> i LOT 2 </w:t>
            </w:r>
            <w:r>
              <w:rPr>
                <w:color w:val="auto"/>
                <w:sz w:val="21"/>
                <w:szCs w:val="21"/>
                <w:lang w:eastAsia="zh-CN"/>
              </w:rPr>
              <w:t xml:space="preserve">___.___,__ KM</w:t>
            </w:r>
            <w:r>
              <w:rPr>
                <w:color w:val="auto"/>
                <w:sz w:val="21"/>
                <w:szCs w:val="21"/>
                <w:lang w:eastAsia="zh-CN"/>
              </w:rPr>
              <w:t xml:space="preserve">. Detaljna struktura cijena po stavkama data je u Prilogu II — Obrazac za cijenu ponude.</w:t>
            </w:r>
          </w:p>
        </w:tc>
      </w:tr>
      <w:tr>
        <w:trPr>
          <w:trHeight w:val="660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jc w:val="both"/>
              <w:rPr>
                <w:rFonts w:ascii="Arial" w:hAnsi="Arial" w:cs="Arial"/>
                <w:b/>
                <w:sz w:val="21"/>
                <w:szCs w:val="21"/>
                <w:lang w:val="bs-BA" w:eastAsia="hr-HR"/>
              </w:rPr>
            </w:pPr>
            <w:r>
              <w:rPr>
                <w:rFonts w:cs="Arial" w:ascii="Arial" w:hAnsi="Arial"/>
                <w:b/>
                <w:sz w:val="21"/>
                <w:szCs w:val="21"/>
                <w:lang w:val="bs-BA" w:eastAsia="hr-HR"/>
              </w:rPr>
              <w:t xml:space="preserve">Postojeće stanje i razlozi nabavke</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Sjednica (Bileća) je 2014. godine odabrana kao buduće RR čvorište preko kojeg se osigurava rad TK opreme na više lokacija uvezanih na predmetno čvorište. Lokacija se nalazi na nadmorskoj visini od 1076 m, na koordinatama 42.9448° N, 18.3236° E. Na lokaciji su od 2018. godine prisutne sljedeće građevinske cjeline: temelj cca 5,40 x 5.40 m, metalna ograda, antenski stub h = 38 m i kontejner tip K2 ispod stuba. Zakupljeni prostor iznosi 150 m</w:t>
            </w:r>
            <w:r>
              <w:rPr>
                <w:rFonts w:cs="Arial" w:ascii="Arial" w:hAnsi="Arial"/>
                <w:sz w:val="21"/>
                <w:szCs w:val="21"/>
                <w:vertAlign w:val="superscript"/>
                <w:lang w:val="bs-BA"/>
              </w:rPr>
              <w:t xml:space="preserve">2</w:t>
            </w:r>
            <w:r>
              <w:rPr>
                <w:rFonts w:cs="Arial" w:ascii="Arial" w:hAnsi="Arial"/>
                <w:sz w:val="21"/>
                <w:szCs w:val="21"/>
                <w:lang w:val="bs-BA"/>
              </w:rPr>
              <w:t xml:space="preserve">.</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Hamzići (Čitluk) nalazi se na nadmorskoj visini od 493 m, na koordinatama 43.2880° N, 17.6248° E, na parceli k.č. 109/1 K.O. Hamzići (zakup 150 m²). Na lokaciji su AB temeljna ploča 5,40 × 5,40 m, rešetkasti antenski stub visine 32 m, metalna ograda visine 1,80 m i kontejner K2 bez opreme, sa zidnim klima-uređajem Stulz koji se demontira. Priključak na elektrodistributivnu mrežu, projektovan 2017. godine, nije izveden, pa se i ova lokacija napaja autonomnim hibridnim sistemom, istim kao na lokaciji Sjednica.</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se nalazi na geografski udaljenom i teško pristupačnom planinskom terenu zbog čega je održavanje otežano ili u potpunosti nemoguće tokom cijele godine. Usljed neodržavanja i nekorištenja, prilaz i pristup objektu (last mile) je veoma loš ili nepostojeći u segmentima. Realizacija nabavke se može ocijeniti PRIORITETNOM obzirom na eventualne uštede koje se očekuju kroz smanjenje zakupa transportnih, access linkova i bolje pokrivanja šire okoline okoline Bileće mobilnim signalom.</w:t>
            </w:r>
          </w:p>
          <w:p>
            <w:pPr>
              <w:pStyle w:val="ListParagraph"/>
              <w:ind w:start="0"/>
              <w:jc w:val="both"/>
              <w:rPr>
                <w:rFonts w:ascii="Arial" w:hAnsi="Arial" w:cs="Arial"/>
                <w:sz w:val="21"/>
                <w:szCs w:val="21"/>
                <w:lang w:val="bs-BA"/>
              </w:rPr>
            </w:pPr>
            <w:r>
              <w:rPr>
                <w:rFonts w:cs="Arial" w:ascii="Arial" w:hAnsi="Arial"/>
                <w:sz w:val="21"/>
                <w:szCs w:val="21"/>
                <w:lang w:val="bs-BA"/>
              </w:rPr>
              <w:t xml:space="preserve">Ključna specifičnost lokacije je da ista još uvijek NIJE priključena na elektroenergetsku mrežu, niti se isto očekuje u narednom periodu. Ocjena opravdanosti izgradnje priključka nije u domenu predmeta nabavke. Sektor za energetiku cijeni da je izgradnja elektroenergetskog priključka moguća, ekonomski opravdana za očekivane uštede i prijeko potrebna za eventualnu klasifikaciju objekta kao RR/BS/MPLS čvorišta.</w:t>
            </w:r>
          </w:p>
          <w:p>
            <w:pPr>
              <w:pStyle w:val="ListParagraph"/>
              <w:ind w:start="0"/>
              <w:jc w:val="both"/>
              <w:rPr>
                <w:rFonts w:ascii="Arial" w:hAnsi="Arial" w:cs="Arial"/>
                <w:sz w:val="21"/>
                <w:szCs w:val="21"/>
                <w:lang w:val="bs-BA"/>
              </w:rPr>
            </w:pPr>
            <w:r>
              <w:rPr>
                <w:rFonts w:cs="Arial" w:ascii="Arial" w:hAnsi="Arial"/>
                <w:sz w:val="21"/>
                <w:szCs w:val="21"/>
                <w:lang w:val="bs-BA"/>
              </w:rPr>
              <w:t xml:space="preserve">Planirana TK oprema  na lokaciji uključuje minimalno RAN, RR i MPLS opremu smještenu vani:</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 xml:space="preserve">u vanjskim ormarima (npr. </w:t>
            </w:r>
            <w:r>
              <w:rPr>
                <w:rFonts w:cs="Arial" w:ascii="Arial" w:hAnsi="Arial"/>
                <w:b/>
                <w:sz w:val="21"/>
                <w:szCs w:val="21"/>
                <w:lang w:val="bs-BA"/>
              </w:rPr>
              <w:t xml:space="preserve">Huawei MTS9302A</w:t>
            </w:r>
            <w:r>
              <w:rPr>
                <w:rFonts w:cs="Arial" w:ascii="Arial" w:hAnsi="Arial"/>
                <w:sz w:val="21"/>
                <w:szCs w:val="21"/>
                <w:lang w:val="bs-BA"/>
              </w:rPr>
              <w:t xml:space="preserve"> kabinet sa BBU i MPLS i RR opremom)</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 xml:space="preserve">na stubu (remote RRU/MMU jedinice i antenski sistem).</w:t>
            </w:r>
          </w:p>
          <w:p>
            <w:pPr>
              <w:pStyle w:val="Normal"/>
              <w:jc w:val="both"/>
              <w:rPr>
                <w:rFonts w:ascii="Arial" w:hAnsi="Arial" w:cs="Arial"/>
                <w:sz w:val="21"/>
                <w:szCs w:val="21"/>
                <w:lang w:val="bs-BA"/>
              </w:rPr>
            </w:pPr>
            <w:r>
              <w:rPr>
                <w:rFonts w:cs="Arial" w:ascii="Arial" w:hAnsi="Arial"/>
                <w:b/>
                <w:sz w:val="21"/>
                <w:szCs w:val="21"/>
                <w:lang w:val="bs-BA"/>
              </w:rPr>
              <w:t xml:space="preserve">Smještaj TK opreme u kontejner</w:t>
            </w:r>
            <w:r>
              <w:rPr>
                <w:rFonts w:cs="Arial" w:ascii="Arial" w:hAnsi="Arial"/>
                <w:sz w:val="21"/>
                <w:szCs w:val="21"/>
                <w:lang w:val="bs-BA"/>
              </w:rPr>
              <w:t xml:space="preserve">, tj. prostoriju agregatskog postrojenja sa spremnikom </w:t>
            </w:r>
            <w:r>
              <w:rPr>
                <w:rFonts w:cs="Arial" w:ascii="Arial" w:hAnsi="Arial"/>
                <w:b/>
                <w:sz w:val="21"/>
                <w:szCs w:val="21"/>
                <w:lang w:val="bs-BA"/>
              </w:rPr>
              <w:t xml:space="preserve">nije dozvoljen</w:t>
            </w:r>
            <w:r>
              <w:rPr>
                <w:rFonts w:cs="Arial" w:ascii="Arial" w:hAnsi="Arial"/>
                <w:sz w:val="21"/>
                <w:szCs w:val="21"/>
                <w:lang w:val="bs-BA"/>
              </w:rPr>
              <w:t xml:space="preserve">. Energetskim bilansom se predviđa autonomni hibridni sistem za napajanje potrošača isključivo na -48 VDC, procijenjene snage 1.180 W (nazivno), odnosno 1.330 W (vršno - ljeti), uključujući sistem hlađenja i rezidualnu/pomoćnu opremu.</w:t>
            </w:r>
          </w:p>
          <w:p>
            <w:pPr>
              <w:pStyle w:val="ListParagraph"/>
              <w:ind w:start="0"/>
              <w:jc w:val="both"/>
              <w:rPr>
                <w:rFonts w:ascii="Arial" w:hAnsi="Arial" w:cs="Arial"/>
                <w:sz w:val="21"/>
                <w:szCs w:val="21"/>
                <w:lang w:val="bs-BA"/>
              </w:rPr>
            </w:pPr>
            <w:r>
              <w:rPr>
                <w:rFonts w:cs="Arial" w:ascii="Arial" w:hAnsi="Arial"/>
                <w:sz w:val="21"/>
                <w:szCs w:val="21"/>
                <w:lang w:val="bs-BA"/>
              </w:rPr>
              <w:t xml:space="preserve">Sistem napajanja predviđen je kao hibridni – off grid sastavljen od osnovnih elementa:</w:t>
            </w:r>
          </w:p>
          <w:p>
            <w:pPr>
              <w:pStyle w:val="ListParagraph"/>
              <w:ind w:start="0"/>
              <w:jc w:val="both"/>
              <w:rPr>
                <w:rFonts w:ascii="Arial" w:hAnsi="Arial" w:cs="Arial"/>
                <w:sz w:val="21"/>
                <w:szCs w:val="21"/>
                <w:lang w:val="bs-BA"/>
              </w:rPr>
            </w:pPr>
            <w:r>
              <w:rPr>
                <w:rFonts w:cs="Arial" w:ascii="Arial" w:hAnsi="Arial"/>
                <w:sz w:val="21"/>
                <w:szCs w:val="21"/>
                <w:lang w:val="bs-BA"/>
              </w:rPr>
              <w:t xml:space="preserve">- primarni izvor: fotonaponski (PV) moduli tip. </w:t>
            </w:r>
            <w:r>
              <w:rPr>
                <w:rFonts w:cs="Arial" w:ascii="Arial" w:hAnsi="Arial"/>
                <w:b/>
                <w:sz w:val="21"/>
                <w:szCs w:val="21"/>
                <w:lang w:val="bs-BA"/>
              </w:rPr>
              <w:t xml:space="preserve">iPV585-M2A</w:t>
            </w:r>
            <w:r>
              <w:rPr>
                <w:rFonts w:cs="Arial" w:ascii="Arial" w:hAnsi="Arial"/>
                <w:sz w:val="21"/>
                <w:szCs w:val="21"/>
                <w:lang w:val="bs-BA"/>
              </w:rPr>
              <w:t xml:space="preserve"> instalisane snage 2x6x585= 7.020 Wp</w:t>
            </w:r>
          </w:p>
          <w:p>
            <w:pPr>
              <w:pStyle w:val="ListParagraph"/>
              <w:ind w:start="0"/>
              <w:jc w:val="both"/>
              <w:rPr>
                <w:rFonts w:ascii="Arial" w:hAnsi="Arial" w:cs="Arial"/>
                <w:sz w:val="21"/>
                <w:szCs w:val="21"/>
                <w:lang w:val="bs-BA"/>
              </w:rPr>
            </w:pPr>
            <w:r>
              <w:rPr>
                <w:rFonts w:cs="Arial" w:ascii="Arial" w:hAnsi="Arial"/>
                <w:sz w:val="21"/>
                <w:szCs w:val="21"/>
                <w:lang w:val="bs-BA"/>
              </w:rPr>
              <w:t xml:space="preserve">- sekundarni izvor: baterijski sistem (LFP – litijum-željezo-fosfatna) instalisanog kapaciteta 6x150 Ah (48,6 kWh), DoD min. 85% kao ciklirajuća akumulacija, smješten u zasebnom outdoor ormaru sa solarnim punjačima i ispravljačima Huawei ICC360-HA1-C1 (PowerCube 1000) ili kompatibilnim sistemom.</w:t>
            </w:r>
          </w:p>
          <w:p>
            <w:pPr>
              <w:pStyle w:val="ListParagraph"/>
              <w:ind w:start="0"/>
              <w:jc w:val="both"/>
              <w:rPr>
                <w:rFonts w:ascii="Arial" w:hAnsi="Arial" w:cs="Arial"/>
                <w:sz w:val="21"/>
                <w:szCs w:val="21"/>
                <w:lang w:val="bs-BA"/>
              </w:rPr>
            </w:pPr>
            <w:r>
              <w:rPr>
                <w:rFonts w:cs="Arial" w:ascii="Arial" w:hAnsi="Arial"/>
                <w:sz w:val="21"/>
                <w:szCs w:val="21"/>
                <w:lang w:val="bs-BA"/>
              </w:rPr>
              <w:t xml:space="preserve">- rezervni izvor: automatski dizel električni agregat snage 18 kVA (14,4 kW), 3 x 230/400 V, 50 Hz smješten u postojeći kontejner na svakoj lokaciji. DEA napaja ispravljače.</w:t>
            </w:r>
          </w:p>
          <w:p>
            <w:pPr>
              <w:pStyle w:val="ListParagraph"/>
              <w:ind w:start="0"/>
              <w:jc w:val="both"/>
              <w:rPr>
                <w:rFonts w:ascii="Arial" w:hAnsi="Arial" w:cs="Arial"/>
                <w:sz w:val="21"/>
                <w:szCs w:val="21"/>
                <w:lang w:val="bs-BA"/>
              </w:rPr>
            </w:pPr>
            <w:r>
              <w:rPr>
                <w:rFonts w:cs="Arial" w:ascii="Arial" w:hAnsi="Arial"/>
                <w:sz w:val="21"/>
                <w:szCs w:val="21"/>
                <w:lang w:val="bs-BA"/>
              </w:rPr>
              <w:t xml:space="preserve">Oprema primarnog izvora (</w:t>
            </w:r>
            <w:r>
              <w:rPr>
                <w:rFonts w:cs="Arial" w:ascii="Arial" w:hAnsi="Arial"/>
                <w:b/>
                <w:sz w:val="21"/>
                <w:szCs w:val="21"/>
                <w:lang w:val="bs-BA"/>
              </w:rPr>
              <w:t xml:space="preserve">iPV585-M2A</w:t>
            </w:r>
            <w:r>
              <w:rPr>
                <w:rFonts w:cs="Arial" w:ascii="Arial" w:hAnsi="Arial"/>
                <w:sz w:val="21"/>
                <w:szCs w:val="21"/>
                <w:lang w:val="bs-BA"/>
              </w:rPr>
              <w:t xml:space="preserve">), sekundarnog izvora (</w:t>
            </w:r>
            <w:r>
              <w:rPr>
                <w:rFonts w:cs="Arial" w:ascii="Arial" w:hAnsi="Arial"/>
                <w:b/>
                <w:sz w:val="21"/>
                <w:szCs w:val="21"/>
                <w:lang w:val="bs-BA"/>
              </w:rPr>
              <w:t xml:space="preserve">ICC360-HA1-C1</w:t>
            </w:r>
            <w:r>
              <w:rPr>
                <w:rFonts w:cs="Arial" w:ascii="Arial" w:hAnsi="Arial"/>
                <w:sz w:val="21"/>
                <w:szCs w:val="21"/>
                <w:lang w:val="bs-BA"/>
              </w:rPr>
              <w:t xml:space="preserve">) i ormar za smještaj TK opreme (</w:t>
            </w:r>
            <w:r>
              <w:rPr>
                <w:rFonts w:cs="Arial" w:ascii="Arial" w:hAnsi="Arial"/>
                <w:b/>
                <w:sz w:val="21"/>
                <w:szCs w:val="21"/>
                <w:lang w:val="bs-BA"/>
              </w:rPr>
              <w:t xml:space="preserve">MTS9302A</w:t>
            </w:r>
            <w:r>
              <w:rPr>
                <w:rFonts w:cs="Arial" w:ascii="Arial" w:hAnsi="Arial"/>
                <w:sz w:val="21"/>
                <w:szCs w:val="21"/>
                <w:lang w:val="bs-BA"/>
              </w:rPr>
              <w:t xml:space="preserve">) nije predmet nabavke već se isporučuje zasebno kao kompletno embedded rješenje sa omogućenim menadžmentom, daljinskim nadzorom i upravljanjem hibridnim sistemom na lokaicji putem NetEco platforme isporučene od strane kompanije Huawei, te je realizovana u okviru tekućih projekata proširenja radio-pristupne infrastrukture u BH Telecomu. </w:t>
            </w:r>
          </w:p>
          <w:p>
            <w:pPr>
              <w:pStyle w:val="ListParagraph"/>
              <w:ind w:start="0"/>
              <w:jc w:val="both"/>
              <w:rPr>
                <w:rFonts w:ascii="Arial" w:hAnsi="Arial" w:cs="Arial"/>
                <w:sz w:val="21"/>
                <w:szCs w:val="21"/>
                <w:lang w:val="bs-BA"/>
              </w:rPr>
            </w:pPr>
            <w:r>
              <w:rPr>
                <w:rFonts w:cs="Arial" w:ascii="Arial" w:hAnsi="Arial"/>
                <w:sz w:val="21"/>
                <w:szCs w:val="21"/>
                <w:lang w:val="bs-BA"/>
              </w:rPr>
              <w:t xml:space="preserve">Sistem je dimenzionisan tako da fotonaponsko polje pokriva najveći dio potrošnje, a dizel električni agregat radi samo kada baterije dostignu zadanu dubinu pražnjenja, tj. u nizovima dana slabe osunčanosti i pri kvaru opreme. Satna simulacija energetskog bilansa za 19 godina (pvlib, PVGIS-SARAH3, 2005–2023) daje očekivani rad agregata od ≈250 h godišnje na lokaciji Sjednica i ≈230 h na lokaciji Hamzići (u najlošijim godinama do ≈330 h), uz potrošnju goriva od ≈820 l, odnosno ≈750 l godišnje; spremnik od 500 l dopunjava se u prosjeku dva puta godišnje. Vrijednosti važe uz parametriranje upravljačke jedinice za minimalan rad agregata, propisano Prilogom I TD. Agregati rade u režimu trajne (prime) snage prema ISO 8528-1, sa ulaznom snagom ispravljača ograničenom na 9,5 kW.</w:t>
            </w:r>
          </w:p>
          <w:p>
            <w:pPr>
              <w:pStyle w:val="ListParagraph"/>
              <w:ind w:start="0"/>
              <w:jc w:val="both"/>
              <w:rPr>
                <w:rFonts w:ascii="Arial" w:hAnsi="Arial" w:cs="Arial"/>
                <w:sz w:val="21"/>
                <w:szCs w:val="21"/>
                <w:lang w:val="bs-BA"/>
              </w:rPr>
            </w:pPr>
            <w:r>
              <w:rPr>
                <w:rFonts w:cs="Arial" w:ascii="Arial" w:hAnsi="Arial"/>
                <w:sz w:val="21"/>
                <w:szCs w:val="21"/>
                <w:lang w:val="bs-BA"/>
              </w:rPr>
              <w:t xml:space="preserve">Predmetna nabavka predstavlja DRUGU iteraciju izgradnje autonomnih/off-grid hibridnih sistema napajanja sa podrškom dizel-električnog agregata. Prva takva realizacija izvedena je na lokaciji MILNIŠTE_MIKRO (Glamoč) sa pozitivnim iskustvima, te će zajedno sa njom poslužiti kao referentno rješenje za druge slične objekte bez mogućnosti priključenja na elektroenergetsku mrežu.</w:t>
            </w:r>
          </w:p>
          <w:p>
            <w:pPr>
              <w:pStyle w:val="ListParagraph"/>
              <w:suppressAutoHyphens w:val="false"/>
              <w:ind w:start="0"/>
              <w:jc w:val="both"/>
              <w:rPr>
                <w:rFonts w:ascii="Arial" w:hAnsi="Arial" w:cs="Arial"/>
                <w:b/>
                <w:sz w:val="21"/>
                <w:szCs w:val="21"/>
                <w:lang w:val="bs-BA"/>
              </w:rPr>
            </w:pPr>
            <w:r>
              <w:rPr>
                <w:rFonts w:cs="Arial" w:ascii="Arial" w:hAnsi="Arial"/>
                <w:b/>
                <w:sz w:val="21"/>
                <w:szCs w:val="21"/>
                <w:lang w:val="bs-BA"/>
              </w:rPr>
              <w:t xml:space="preserve">Investicioni program</w:t>
            </w:r>
          </w:p>
          <w:p>
            <w:pPr>
              <w:pStyle w:val="ListParagraph"/>
              <w:suppressAutoHyphens w:val="false"/>
              <w:ind w:start="0"/>
              <w:jc w:val="both"/>
              <w:rPr>
                <w:rFonts w:ascii="Arial" w:hAnsi="Arial" w:cs="Arial"/>
                <w:sz w:val="21"/>
                <w:szCs w:val="21"/>
                <w:lang w:val="bs-BA"/>
              </w:rPr>
            </w:pPr>
            <w:r>
              <w:rPr>
                <w:rFonts w:cs="Arial" w:ascii="Arial" w:hAnsi="Arial"/>
                <w:sz w:val="21"/>
                <w:szCs w:val="21"/>
                <w:highlight w:val="yellow"/>
                <w:lang w:val="bs-BA"/>
              </w:rPr>
              <w:t xml:space="preserve">Za navedeni projekat </w:t>
            </w:r>
            <w:r>
              <w:rPr>
                <w:rFonts w:cs="Arial" w:ascii="Arial" w:hAnsi="Arial"/>
                <w:sz w:val="21"/>
                <w:szCs w:val="21"/>
                <w:highlight w:val="yellow"/>
                <w:lang w:val="bs-BA"/>
              </w:rPr>
              <w:t xml:space="preserve">ne postoji Investivioni program.</w:t>
            </w:r>
          </w:p>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 xml:space="preserve">Predmet i obim nabavke </w:t>
            </w:r>
          </w:p>
          <w:p>
            <w:pPr>
              <w:pStyle w:val="Normal"/>
              <w:jc w:val="both"/>
              <w:rPr>
                <w:rFonts w:ascii="Arial" w:hAnsi="Arial" w:cs="Arial"/>
                <w:strike/>
                <w:color w:val="EE0000"/>
                <w:sz w:val="21"/>
                <w:szCs w:val="21"/>
                <w:lang w:val="bs-BA"/>
              </w:rPr>
            </w:pPr>
            <w:r>
              <w:rPr>
                <w:rFonts w:cs="Arial" w:ascii="Arial" w:hAnsi="Arial"/>
                <w:sz w:val="21"/>
                <w:szCs w:val="21"/>
                <w:lang w:val="bs-BA"/>
              </w:rPr>
              <w:t xml:space="preserve">Predmet nabavke je isporuka opreme sa uslugama instalacije i pratećim građevinskim radovima za autonomni hibridni sistem napajanja na baznim stanicama Sjednica (Bileća) i Hamzići (Čitluk), za potrebe objekta u vlasništvu BH Telecom d.d. Sarajevo.</w:t>
            </w:r>
          </w:p>
          <w:p>
            <w:pPr>
              <w:pStyle w:val="ListParagraph"/>
              <w:ind w:start="0"/>
              <w:jc w:val="both"/>
              <w:rPr>
                <w:rFonts w:ascii="Arial" w:hAnsi="Arial" w:cs="Arial"/>
                <w:sz w:val="21"/>
                <w:szCs w:val="21"/>
                <w:lang w:val="bs-BA"/>
              </w:rPr>
            </w:pPr>
            <w:r>
              <w:rPr>
                <w:rFonts w:cs="Arial" w:ascii="Arial" w:hAnsi="Arial"/>
                <w:sz w:val="21"/>
                <w:szCs w:val="21"/>
                <w:lang w:val="bs-BA"/>
              </w:rPr>
              <w:t xml:space="preserve">Predviđena je isporuka i instalacija: </w:t>
            </w:r>
            <w:bookmarkStart w:id="7" w:name="_GoBack"/>
            <w:bookmarkEnd w:id="7"/>
          </w:p>
          <w:p>
            <w:pPr>
              <w:pStyle w:val="ListParagraph"/>
              <w:ind w:start="0"/>
              <w:jc w:val="both"/>
              <w:rPr>
                <w:rFonts w:ascii="Arial" w:hAnsi="Arial" w:cs="Arial"/>
                <w:sz w:val="21"/>
                <w:szCs w:val="21"/>
                <w:lang w:val="bs-BA"/>
              </w:rPr>
            </w:pPr>
            <w:r>
              <w:rPr>
                <w:rFonts w:cs="Arial" w:ascii="Arial" w:hAnsi="Arial"/>
                <w:sz w:val="21"/>
                <w:szCs w:val="21"/>
                <w:lang w:val="bs-BA"/>
              </w:rPr>
              <w:t xml:space="preserve">LOT 1 : metalne konstrukcije sa po 3 (tri) nosača za fotonaponske panele na svakoj lokaciji (ground support) za montažu na tlo, fiksnog nagiba 45° i orijentacije jug (azimut 180°), sa temeljnim trakama, AB pločom, armaturom, prihvatima, ankerima i ostalim spojnim materijalom</w:t>
            </w:r>
          </w:p>
          <w:p>
            <w:pPr>
              <w:pStyle w:val="ListParagraph"/>
              <w:ind w:start="0"/>
              <w:jc w:val="both"/>
              <w:rPr>
                <w:rFonts w:ascii="Arial" w:hAnsi="Arial" w:cs="Arial"/>
                <w:bCs/>
                <w:sz w:val="21"/>
                <w:szCs w:val="21"/>
                <w:lang w:val="bs-BA"/>
              </w:rPr>
            </w:pPr>
            <w:r>
              <w:rPr>
                <w:rFonts w:cs="Arial" w:ascii="Arial" w:hAnsi="Arial"/>
                <w:sz w:val="21"/>
                <w:szCs w:val="21"/>
                <w:lang w:val="bs-BA"/>
              </w:rPr>
              <w:t xml:space="preserve">LOT 2: dva agregatska postrojenja (po jedno na svakoj lokaciji) sa automatskim dizel električnim agregatom snage 18 kVA / 14,4 kW pri cosφ 0,8, za rad u režimu trajne (prime) snage prema ISO 8528-1, sa ulaznom snagom ispravljača ograničenom na 9,5 kW, kao FG Wilson P18-6 ili ekvivalent, u skid izvedbi za montažu u prostor tj. postojeće kontejnere na lokacijama, dvoplašnim spremnicima goriva zapremine 500 l, sa ožičenjem sistema do potpune funcionalnosti i puštanjem u rad, te demontažom postojećeg klima-uređaja na lokaciji Hamzići.</w:t>
            </w:r>
          </w:p>
          <w:p>
            <w:pPr>
              <w:pStyle w:val="ListParagraph"/>
              <w:ind w:start="0"/>
              <w:jc w:val="both"/>
              <w:rPr>
                <w:rFonts w:ascii="Arial" w:hAnsi="Arial" w:cs="Arial"/>
                <w:sz w:val="21"/>
                <w:szCs w:val="21"/>
                <w:lang w:val="bs-BA"/>
              </w:rPr>
            </w:pPr>
            <w:r>
              <w:rPr>
                <w:rFonts w:cs="Arial" w:ascii="Arial" w:hAnsi="Arial"/>
                <w:sz w:val="21"/>
                <w:szCs w:val="21"/>
                <w:lang w:val="bs-BA"/>
              </w:rPr>
            </w:r>
          </w:p>
        </w:tc>
      </w:tr>
      <w:tr>
        <w:trPr>
          <w:trHeight w:val="2536"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 xml:space="preserve">Rizik nenabavke</w:t>
            </w:r>
          </w:p>
          <w:p>
            <w:pPr>
              <w:pStyle w:val="Normal"/>
              <w:jc w:val="both"/>
              <w:rPr>
                <w:rFonts w:ascii="Arial" w:hAnsi="Arial" w:cs="Arial"/>
                <w:sz w:val="21"/>
                <w:szCs w:val="21"/>
                <w:lang w:val="bs-BA"/>
              </w:rPr>
            </w:pPr>
            <w:r>
              <w:rPr>
                <w:rFonts w:cs="Arial" w:ascii="Arial" w:hAnsi="Arial"/>
                <w:sz w:val="21"/>
                <w:szCs w:val="21"/>
                <w:lang w:val="bs-BA"/>
              </w:rPr>
              <w:t xml:space="preserve">U slučaju neodobravanja ove nabavke, objekti Sjednica, Bileća i Hamzići, Čitluk ne mogu biti pušteni u rad, obzirom da lokacije nisu priključene na elektroenergetsku mrežu i ne postoji alternativni izvor napajanja. Time bi izostalo planirano pokrivanje šireg područja telekomunikacionim uslugama, kao i uspostava planiranog RR čvorišta.</w:t>
            </w:r>
          </w:p>
          <w:p>
            <w:pPr>
              <w:pStyle w:val="Normal"/>
              <w:jc w:val="both"/>
              <w:rPr>
                <w:rFonts w:ascii="Arial" w:hAnsi="Arial" w:cs="Arial"/>
                <w:sz w:val="21"/>
                <w:szCs w:val="21"/>
                <w:lang w:val="bs-BA"/>
              </w:rPr>
            </w:pPr>
            <w:r>
              <w:rPr>
                <w:rFonts w:cs="Arial" w:ascii="Arial" w:hAnsi="Arial"/>
                <w:sz w:val="21"/>
                <w:szCs w:val="21"/>
                <w:lang w:val="bs-BA"/>
              </w:rPr>
              <w:t xml:space="preserve">Obzirom da instaliranje agregata i fotonaponskih nosača može ovisiti i od pribavljanja dozvola od strane općinskih organa, postoji mogućnost da se za lokaciju ne pribavi neophodna dozvola, opozovu dodijeljeni lokacijski uslovi ili ugovoreni zakup zemljišta, te će se u navedenom slučaju odustati od realizacije.</w:t>
            </w:r>
          </w:p>
          <w:p>
            <w:pPr>
              <w:pStyle w:val="Normal"/>
              <w:suppressAutoHyphens w:val="false"/>
              <w:jc w:val="both"/>
              <w:rPr>
                <w:rFonts w:ascii="Arial" w:hAnsi="Arial" w:cs="Arial"/>
                <w:sz w:val="21"/>
                <w:szCs w:val="21"/>
                <w:highlight w:val="green"/>
                <w:lang w:val="bs-BA"/>
              </w:rPr>
            </w:pPr>
            <w:r>
              <w:rPr>
                <w:rFonts w:cs="Arial" w:ascii="Arial" w:hAnsi="Arial"/>
                <w:sz w:val="21"/>
                <w:szCs w:val="21"/>
                <w:lang w:val="bs-BA" w:eastAsia="en-US"/>
              </w:rPr>
              <w:t xml:space="preserve">Nabavka autonomnih hibridnih sistema napajanja za BS Sjednica i BS Hamzići nije u koliziji s ostalim projektima i sistemima, niti uslovljava vremenski ili suštinski ostale projekte i sisteme BH Telecom-a.</w:t>
            </w:r>
          </w:p>
        </w:tc>
      </w:tr>
    </w:tbl>
    <w:p>
      <w:pPr>
        <w:pStyle w:val="Normal"/>
        <w:suppressAutoHyphens w:val="false"/>
        <w:jc w:val="both"/>
        <w:rPr>
          <w:rFonts w:ascii="Arial" w:hAnsi="Arial" w:cs="Arial"/>
          <w:sz w:val="21"/>
          <w:szCs w:val="21"/>
          <w:lang w:val="bs-BA"/>
        </w:rPr>
      </w:pPr>
      <w:r>
        <w:rPr>
          <w:rFonts w:cs="Arial" w:ascii="Arial" w:hAnsi="Arial"/>
          <w:sz w:val="21"/>
          <w:szCs w:val="21"/>
          <w:highlight w:val="yellow"/>
          <w:lang w:val="bs-BA"/>
        </w:rPr>
        <w:t xml:space="preserve">Nabavni zahtjev po predmetnoj Odluci je usaglašen između ID TIRS i IDI i bit će pokrenut odmah po usvajanju Odluke od strane Uprave Društva.</w:t>
      </w:r>
    </w:p>
    <w:p>
      <w:pPr>
        <w:pStyle w:val="Normal"/>
        <w:suppressAutoHyphens w:val="false"/>
        <w:jc w:val="both"/>
        <w:rPr>
          <w:rFonts w:ascii="Arial" w:hAnsi="Arial" w:cs="Arial"/>
          <w:sz w:val="21"/>
          <w:szCs w:val="21"/>
          <w:lang w:val="bs-BA"/>
        </w:rPr>
      </w:pPr>
      <w:r>
        <w:rPr>
          <w:rFonts w:cs="Arial" w:ascii="Arial" w:hAnsi="Arial"/>
          <w:sz w:val="21"/>
          <w:szCs w:val="21"/>
          <w:lang w:val="bs-BA"/>
        </w:rPr>
        <w:t xml:space="preserve">Nabavka nije u koliziji s ostalim projektima i sistemima, niti uslovljava vremenski ili suštinski ostale projekte i sisteme BH Telecom-a.</w:t>
      </w:r>
    </w:p>
    <w:p>
      <w:pPr>
        <w:pStyle w:val="Normal"/>
        <w:suppressAutoHyphens w:val="false"/>
        <w:ind w:start="-142"/>
        <w:jc w:val="both"/>
        <w:rPr>
          <w:rFonts w:ascii="Arial" w:hAnsi="Arial" w:cs="Arial"/>
          <w:sz w:val="21"/>
          <w:szCs w:val="21"/>
          <w:lang w:val="bs-BA"/>
        </w:rPr>
      </w:pPr>
      <w:r>
        <w:rPr>
          <w:rFonts w:cs="Arial" w:ascii="Arial" w:hAnsi="Arial"/>
          <w:sz w:val="21"/>
          <w:szCs w:val="21"/>
          <w:lang w:val="bs-BA"/>
        </w:rPr>
      </w:r>
      <w:bookmarkStart w:id="8" w:name="_Hlk225165969"/>
    </w:p>
    <w:tbl>
      <w:tblPr>
        <w:tblW w:w="9639" w:type="dxa"/>
        <w:jc w:val="start"/>
        <w:tblInd w:w="-5" w:type="dxa"/>
        <w:tblLayout w:type="fixed"/>
        <w:tblCellMar>
          <w:top w:w="0" w:type="dxa"/>
          <w:start w:w="108" w:type="dxa"/>
          <w:bottom w:w="0" w:type="dxa"/>
          <w:end w:w="108" w:type="dxa"/>
        </w:tblCellMar>
        <w:tblLook w:val="04a0" w:firstRow="1" w:noVBand="1" w:lastRow="0" w:firstColumn="1" w:lastColumn="0" w:noHBand="0"/>
      </w:tblPr>
      <w:tblGrid>
        <w:gridCol w:w="851"/>
        <w:gridCol w:w="2693"/>
        <w:gridCol w:w="3119"/>
        <w:gridCol w:w="1559"/>
        <w:gridCol w:w="1417"/>
      </w:tblGrid>
      <w:tr>
        <w:trPr>
          <w:trHeight w:val="47" w:hRule="atLeast"/>
        </w:trPr>
        <w:tc>
          <w:tcPr>
            <w:tcW w:w="851"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TAČKA OPI</w:t>
            </w:r>
          </w:p>
        </w:tc>
        <w:tc>
          <w:tcPr>
            <w:tcW w:w="2693"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caps/>
                <w:sz w:val="18"/>
                <w:szCs w:val="18"/>
                <w:lang w:val="bs-BA" w:eastAsia="bs-BA"/>
              </w:rPr>
            </w:pPr>
            <w:r>
              <w:rPr>
                <w:rFonts w:cs="Arial" w:ascii="Arial" w:hAnsi="Arial"/>
                <w:b/>
                <w:bCs/>
                <w:caps/>
                <w:sz w:val="18"/>
                <w:szCs w:val="18"/>
                <w:lang w:val="bs-BA" w:eastAsia="bs-BA"/>
              </w:rPr>
              <w:t xml:space="preserve">NAZIV ROBE ILI USLUGA</w:t>
            </w:r>
          </w:p>
          <w:p>
            <w:pPr>
              <w:pStyle w:val="Normal"/>
              <w:jc w:val="center"/>
              <w:rPr>
                <w:rFonts w:ascii="Arial" w:hAnsi="Arial" w:cs="Arial"/>
                <w:b/>
                <w:bCs/>
                <w:sz w:val="18"/>
                <w:szCs w:val="18"/>
                <w:lang w:val="bs-BA"/>
              </w:rPr>
            </w:pPr>
            <w:r>
              <w:rPr>
                <w:rFonts w:cs="Arial" w:ascii="Arial" w:hAnsi="Arial"/>
                <w:b/>
                <w:bCs/>
                <w:sz w:val="18"/>
                <w:szCs w:val="18"/>
                <w:lang w:val="bs-BA"/>
              </w:rPr>
            </w:r>
          </w:p>
        </w:tc>
        <w:tc>
          <w:tcPr>
            <w:tcW w:w="311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PLANIRANO U 2026. GODINI</w:t>
            </w:r>
          </w:p>
        </w:tc>
        <w:tc>
          <w:tcPr>
            <w:tcW w:w="1417"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312"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14.6</w:t>
            </w:r>
          </w:p>
        </w:tc>
        <w:tc>
          <w:tcPr>
            <w:tcW w:w="2693"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highlight w:val="yellow"/>
                <w:lang w:val="bs-BA"/>
              </w:rPr>
              <w:t xml:space="preserve">Sigurnosne platforme za 5G</w:t>
            </w:r>
          </w:p>
        </w:tc>
        <w:tc>
          <w:tcPr>
            <w:tcW w:w="3119" w:type="dxa"/>
            <w:vMerge w:val="restart"/>
            <w:tcBorders>
              <w:top w:val="single" w:sz="4" w:space="0" w:color="000000"/>
              <w:start w:val="single" w:sz="4" w:space="0" w:color="000000"/>
              <w:end w:val="single" w:sz="4" w:space="0" w:color="000000"/>
            </w:tcBorders>
            <w:vAlign w:val="center"/>
          </w:tcPr>
          <w:p>
            <w:pPr>
              <w:pStyle w:val="Default"/>
              <w:rPr>
                <w:color w:val="auto"/>
                <w:sz w:val="18"/>
                <w:szCs w:val="18"/>
                <w:lang w:eastAsia="zh-CN"/>
              </w:rPr>
            </w:pPr>
            <w:r>
              <w:rPr>
                <w:sz w:val="18"/>
                <w:szCs w:val="18"/>
                <w:highlight w:val="yellow"/>
              </w:rPr>
              <w:t xml:space="preserve">Nabavka i instalacija hibridnih sistema napajanja - BS Sjednica i BS Hamzići</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___.___</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___.___</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18.1</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 xml:space="preserve">Nadzor i upravljanje energetikom</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18.4</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 xml:space="preserve">Agregatska postrojenja za RR čvorišta - nove lokacije</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r>
      <w:tr>
        <w:trPr>
          <w:trHeight w:val="239" w:hRule="atLeast"/>
        </w:trPr>
        <w:tc>
          <w:tcPr>
            <w:tcW w:w="6663"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 xml:space="preserve">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___.___</w:t>
            </w:r>
          </w:p>
        </w:tc>
        <w:tc>
          <w:tcPr>
            <w:tcW w:w="1417"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___.___</w:t>
            </w:r>
            <w:bookmarkStart w:id="9" w:name="_Hlk225145355"/>
            <w:bookmarkEnd w:id="9"/>
          </w:p>
        </w:tc>
      </w:tr>
    </w:tbl>
    <w:p>
      <w:pPr>
        <w:pStyle w:val="Normal"/>
        <w:shd w:val="clear" w:color="auto" w:fill="FFFFFF"/>
        <w:jc w:val="center"/>
        <w:rPr>
          <w:rFonts w:ascii="Arial" w:hAnsi="Arial" w:cs="Arial"/>
          <w:i/>
          <w:sz w:val="20"/>
          <w:szCs w:val="20"/>
          <w:lang w:val="bs-BA" w:eastAsia="en-US"/>
        </w:rPr>
      </w:pPr>
      <w:r>
        <w:rPr>
          <w:rFonts w:cs="Arial" w:ascii="Arial" w:hAnsi="Arial"/>
          <w:i/>
          <w:sz w:val="20"/>
          <w:szCs w:val="20"/>
          <w:lang w:val="bs-BA" w:eastAsia="en-US"/>
        </w:rPr>
        <w:t xml:space="preserve">Tabela 1. Plan finansijske realizacije</w:t>
      </w:r>
    </w:p>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r>
    </w:p>
    <w:p>
      <w:pPr>
        <w:pStyle w:val="Normal"/>
        <w:shd w:val="clear" w:color="auto" w:fill="FFFFFF"/>
        <w:suppressAutoHyphens w:val="false"/>
        <w:ind w:start="-142"/>
        <w:jc w:val="both"/>
        <w:rPr>
          <w:rFonts w:ascii="Arial" w:hAnsi="Arial" w:cs="Arial"/>
          <w:sz w:val="21"/>
          <w:szCs w:val="21"/>
          <w:lang w:val="bs-BA" w:eastAsia="bs-BA"/>
        </w:rPr>
      </w:pPr>
      <w:r>
        <w:rPr>
          <w:rFonts w:cs="Arial" w:ascii="Arial" w:hAnsi="Arial"/>
          <w:sz w:val="21"/>
          <w:szCs w:val="21"/>
          <w:highlight w:val="yellow"/>
          <w:lang w:val="bs-BA" w:eastAsia="bs-BA"/>
        </w:rPr>
        <w:t xml:space="preserve">Napomena: Predmetna nabavka i sredstva za ovaj projekat planirana su novim Planom 2026-2028.g. pod drugim pozicijama, tako da će se vršiti izmjena Odluke, po usvajanju Plana 2026.-2028. godine na sljedeći način:</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1985"/>
        <w:gridCol w:w="3969"/>
        <w:gridCol w:w="1559"/>
        <w:gridCol w:w="1418"/>
      </w:tblGrid>
      <w:tr>
        <w:trPr>
          <w:trHeight w:val="47" w:hRule="atLeast"/>
        </w:trPr>
        <w:tc>
          <w:tcPr>
            <w:tcW w:w="850"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TAČKA OPI</w:t>
            </w:r>
          </w:p>
        </w:tc>
        <w:tc>
          <w:tcPr>
            <w:tcW w:w="1985"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caps/>
                <w:sz w:val="18"/>
                <w:szCs w:val="18"/>
                <w:lang w:val="bs-BA" w:eastAsia="bs-BA"/>
              </w:rPr>
              <w:t xml:space="preserve">NAZIV ROBE ILI USLUGA</w:t>
            </w:r>
          </w:p>
        </w:tc>
        <w:tc>
          <w:tcPr>
            <w:tcW w:w="396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PLANIRANO U 2026. GODINI</w:t>
            </w:r>
          </w:p>
        </w:tc>
        <w:tc>
          <w:tcPr>
            <w:tcW w:w="1418"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1539" w:hRule="atLeast"/>
        </w:trPr>
        <w:tc>
          <w:tcPr>
            <w:tcW w:w="850"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18.4</w:t>
            </w:r>
          </w:p>
        </w:tc>
        <w:tc>
          <w:tcPr>
            <w:tcW w:w="1985"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lang w:val="bs-BA"/>
              </w:rPr>
              <w:t xml:space="preserve">Infrastruktura i instalacija opreme za autonomni hibridni sistem napajanja Sjednica, Bileća i Hamzići, Čitluk (LOT 1 i 2)</w:t>
            </w:r>
          </w:p>
        </w:tc>
        <w:tc>
          <w:tcPr>
            <w:tcW w:w="3969" w:type="dxa"/>
            <w:tcBorders>
              <w:top w:val="single" w:sz="4" w:space="0" w:color="000000"/>
              <w:start w:val="single" w:sz="4" w:space="0" w:color="000000"/>
              <w:end w:val="single" w:sz="4" w:space="0" w:color="000000"/>
            </w:tcBorders>
            <w:vAlign w:val="center"/>
          </w:tcPr>
          <w:p>
            <w:pPr>
              <w:pStyle w:val="Default"/>
              <w:rPr>
                <w:sz w:val="18"/>
                <w:szCs w:val="18"/>
              </w:rPr>
            </w:pPr>
            <w:r>
              <w:rPr>
                <w:sz w:val="18"/>
                <w:szCs w:val="18"/>
              </w:rPr>
              <w:t xml:space="preserve">LOT 1 – izgradnja temelja, isporuka i montaža nosača za fotonaponske panele (ground mount support) - 6 kpl (3 kpl po lokaciji),</w:t>
            </w:r>
          </w:p>
          <w:p>
            <w:pPr>
              <w:pStyle w:val="Default"/>
              <w:rPr>
                <w:color w:val="auto"/>
                <w:sz w:val="18"/>
                <w:szCs w:val="18"/>
                <w:lang w:eastAsia="zh-CN"/>
              </w:rPr>
            </w:pPr>
            <w:r>
              <w:rPr>
                <w:sz w:val="18"/>
                <w:szCs w:val="18"/>
              </w:rPr>
              <w:t xml:space="preserve">LOT 2 – isporuka i instalacija dva agregatska postrojenja 18 kVA (po jedno na svakoj lokaciji) za montažu u postojeće kontejnere sa spremnikom goriva 500 l, ožičenje, testiranje i puštanje u rad čitavih hibridnih sistema, te demontaža postojećeg klima-uređaja na lokaciji Hamzići.</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___.___</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___.___</w:t>
            </w:r>
          </w:p>
        </w:tc>
      </w:tr>
      <w:tr>
        <w:trPr>
          <w:trHeight w:val="239" w:hRule="atLeast"/>
        </w:trPr>
        <w:tc>
          <w:tcPr>
            <w:tcW w:w="6804"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 xml:space="preserve">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sz w:val="18"/>
                <w:szCs w:val="18"/>
                <w:highlight w:val="yellow"/>
                <w:lang w:val="bs-BA"/>
              </w:rPr>
              <w:t xml:space="preserve">___.___</w:t>
            </w:r>
          </w:p>
        </w:tc>
        <w:tc>
          <w:tcPr>
            <w:tcW w:w="1418"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___.___</w:t>
            </w:r>
          </w:p>
        </w:tc>
      </w:tr>
    </w:tbl>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t xml:space="preserve">Tabela 1. Plan finansijske realizacije</w:t>
      </w:r>
    </w:p>
    <w:p>
      <w:pPr>
        <w:pStyle w:val="Normal"/>
        <w:shd w:val="clear" w:color="auto" w:fill="FFFFFF"/>
        <w:suppressAutoHyphens w:val="false"/>
        <w:spacing w:before="240" w:after="0"/>
        <w:ind w:start="-142"/>
        <w:jc w:val="both"/>
        <w:rPr>
          <w:rFonts w:ascii="Arial" w:hAnsi="Arial" w:cs="Arial"/>
          <w:sz w:val="21"/>
          <w:szCs w:val="21"/>
          <w:lang w:val="bs-BA" w:eastAsia="bs-BA"/>
        </w:rPr>
      </w:pPr>
      <w:r>
        <w:rPr>
          <w:rFonts w:cs="Arial" w:ascii="Arial" w:hAnsi="Arial"/>
          <w:sz w:val="21"/>
          <w:szCs w:val="21"/>
          <w:lang w:val="bs-BA" w:eastAsia="bs-BA"/>
        </w:rPr>
        <w:t xml:space="preserve">Vremenski plan realizacije u 2026.g. prikazan je u Tabeli 2: </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3402"/>
        <w:gridCol w:w="1382"/>
        <w:gridCol w:w="1382"/>
        <w:gridCol w:w="1382"/>
        <w:gridCol w:w="1383"/>
      </w:tblGrid>
      <w:tr>
        <w:trPr>
          <w:trHeight w:val="250" w:hRule="atLeast"/>
        </w:trPr>
        <w:tc>
          <w:tcPr>
            <w:tcW w:w="850"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Rb.</w:t>
            </w:r>
          </w:p>
        </w:tc>
        <w:tc>
          <w:tcPr>
            <w:tcW w:w="3402"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Vrsta aktivnosti</w:t>
            </w:r>
          </w:p>
        </w:tc>
        <w:tc>
          <w:tcPr>
            <w:tcW w:w="5529" w:type="dxa"/>
            <w:gridSpan w:val="4"/>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2026.</w:t>
            </w:r>
          </w:p>
        </w:tc>
      </w:tr>
      <w:tr>
        <w:trPr>
          <w:trHeight w:val="198" w:hRule="atLeast"/>
        </w:trPr>
        <w:tc>
          <w:tcPr>
            <w:tcW w:w="8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1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2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3 Q</w:t>
            </w:r>
          </w:p>
        </w:tc>
        <w:tc>
          <w:tcPr>
            <w:tcW w:w="1383"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4 Q</w:t>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1.</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Donošenje Odluke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eastAsia="bs-BA"/>
              </w:rPr>
            </w:pPr>
            <w:r>
              <w:rPr>
                <w:rFonts w:cs="Arial" w:ascii="Arial" w:hAnsi="Arial"/>
                <w:sz w:val="21"/>
                <w:szCs w:val="21"/>
                <w:highlight w:val="yellow"/>
                <w:lang w:val="bs-BA" w:eastAsia="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2.</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Sačinjavanje nabavnog zahtjeva</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rPr>
            </w:pPr>
            <w:r>
              <w:rPr>
                <w:rFonts w:cs="Arial" w:ascii="Arial" w:hAnsi="Arial"/>
                <w:sz w:val="21"/>
                <w:szCs w:val="21"/>
                <w:highlight w:val="yellow"/>
                <w:lang w:val="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3.</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Postupak nabavke i ugovaranje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3"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bl>
    <w:p>
      <w:pPr>
        <w:pStyle w:val="Normal"/>
        <w:jc w:val="center"/>
        <w:rPr>
          <w:rFonts w:ascii="Arial" w:hAnsi="Arial" w:cs="Arial"/>
          <w:b/>
          <w:bCs/>
          <w:sz w:val="21"/>
          <w:szCs w:val="21"/>
          <w:lang w:val="bs-BA"/>
        </w:rPr>
      </w:pPr>
      <w:r>
        <w:rPr>
          <w:rFonts w:cs="Arial" w:ascii="Arial" w:hAnsi="Arial"/>
          <w:i/>
          <w:sz w:val="21"/>
          <w:szCs w:val="21"/>
          <w:lang w:val="bs-BA" w:eastAsia="en-US"/>
        </w:rPr>
        <w:t xml:space="preserve">Tabela 2. Vremenski plan realizacije</w:t>
      </w:r>
    </w:p>
    <w:p>
      <w:pPr>
        <w:pStyle w:val="Default"/>
        <w:ind w:firstLine="142" w:start="-142"/>
        <w:jc w:val="both"/>
        <w:rPr>
          <w:b/>
          <w:color w:val="auto"/>
          <w:sz w:val="21"/>
          <w:szCs w:val="21"/>
          <w:lang w:eastAsia="zh-CN"/>
        </w:rPr>
      </w:pPr>
      <w:r>
        <w:rPr>
          <w:b/>
          <w:color w:val="auto"/>
          <w:sz w:val="21"/>
          <w:szCs w:val="21"/>
          <w:lang w:eastAsia="zh-CN"/>
        </w:rPr>
      </w:r>
    </w:p>
    <w:p>
      <w:pPr>
        <w:pStyle w:val="Default"/>
        <w:jc w:val="both"/>
        <w:rPr>
          <w:b/>
          <w:color w:val="auto"/>
          <w:sz w:val="21"/>
          <w:szCs w:val="21"/>
          <w:lang w:eastAsia="zh-CN"/>
        </w:rPr>
      </w:pPr>
      <w:r>
        <w:rPr>
          <w:b/>
          <w:color w:val="auto"/>
          <w:sz w:val="21"/>
          <w:szCs w:val="21"/>
          <w:lang w:eastAsia="zh-CN"/>
        </w:rPr>
        <w:t xml:space="preserve">U skladu sa navedenim, predlaže se Upravi društva da usvoji Odluku o odobrenju sredstava za nabavku Infrastruktura i instalacija opreme za autonomni hibridni sistem napajanja Sjednica, Bileća i Hamzići, Čitluk (LOT 1 i 2), sa strukturom sredstava prikazanoj u Tabeli 1 i rokom realizacije do 31.12.2026. godine.</w:t>
      </w:r>
      <w:bookmarkEnd w:id="8"/>
    </w:p>
    <w:p>
      <w:pPr>
        <w:pStyle w:val="Default"/>
        <w:ind w:firstLine="142" w:start="-142"/>
        <w:jc w:val="both"/>
        <w:rPr>
          <w:b/>
          <w:color w:val="auto"/>
          <w:sz w:val="21"/>
          <w:szCs w:val="21"/>
          <w:lang w:eastAsia="zh-CN"/>
        </w:rPr>
      </w:pPr>
      <w:r>
        <w:rPr>
          <w:b/>
          <w:color w:val="auto"/>
          <w:sz w:val="21"/>
          <w:szCs w:val="21"/>
          <w:lang w:eastAsia="zh-CN"/>
        </w:rPr>
      </w:r>
    </w:p>
    <w:p>
      <w:pPr>
        <w:pStyle w:val="Normal"/>
        <w:ind w:firstLine="142" w:start="-142"/>
        <w:rPr>
          <w:rFonts w:ascii="Arial" w:hAnsi="Arial" w:cs="Arial"/>
          <w:sz w:val="21"/>
          <w:szCs w:val="21"/>
          <w:lang w:val="bs-BA"/>
        </w:rPr>
      </w:pPr>
      <w:bookmarkStart w:id="10" w:name="_Hlk52348075"/>
      <w:bookmarkStart w:id="11" w:name="_Hlk52348088"/>
      <w:r>
        <w:rPr>
          <w:rFonts w:cs="Arial" w:ascii="Arial" w:hAnsi="Arial"/>
          <w:b/>
          <w:sz w:val="21"/>
          <w:szCs w:val="21"/>
          <w:lang w:val="bs-BA"/>
        </w:rPr>
        <w:t xml:space="preserve">             </w:t>
      </w:r>
      <w:r>
        <w:rPr>
          <w:rFonts w:cs="Arial" w:ascii="Arial" w:hAnsi="Arial"/>
          <w:b/>
          <w:sz w:val="21"/>
          <w:szCs w:val="21"/>
          <w:lang w:val="bs-BA"/>
        </w:rPr>
        <w:t xml:space="preserve">IZVRŠNI DIREKTOR                                                        IZVRŠNI DIREKTOR</w:t>
      </w:r>
    </w:p>
    <w:p>
      <w:pPr>
        <w:pStyle w:val="Normal"/>
        <w:ind w:firstLine="142" w:start="-142"/>
        <w:rPr>
          <w:rFonts w:ascii="Arial" w:hAnsi="Arial" w:cs="Arial"/>
          <w:sz w:val="21"/>
          <w:szCs w:val="21"/>
          <w:lang w:val="bs-BA"/>
        </w:rPr>
      </w:pPr>
      <w:r>
        <w:rPr>
          <w:rFonts w:cs="Arial" w:ascii="Arial" w:hAnsi="Arial"/>
          <w:b/>
          <w:sz w:val="21"/>
          <w:szCs w:val="21"/>
          <w:lang w:val="bs-BA"/>
        </w:rPr>
        <w:t xml:space="preserve">IZVRŠNE DIREKCIJE  ZA TEHNOLOGIJU                    IZVRŠNE DIREKCIJE ZA INVESTICIJE </w:t>
      </w:r>
    </w:p>
    <w:p>
      <w:pPr>
        <w:pStyle w:val="Normal"/>
        <w:ind w:firstLine="142" w:start="-142"/>
        <w:rPr>
          <w:rFonts w:ascii="Arial" w:hAnsi="Arial" w:cs="Arial"/>
          <w:b/>
          <w:sz w:val="21"/>
          <w:szCs w:val="21"/>
          <w:lang w:val="bs-BA"/>
        </w:rPr>
      </w:pPr>
      <w:r>
        <w:rPr>
          <w:rFonts w:eastAsia="Arial" w:cs="Arial" w:ascii="Arial" w:hAnsi="Arial"/>
          <w:b/>
          <w:sz w:val="21"/>
          <w:szCs w:val="21"/>
          <w:lang w:val="bs-BA"/>
        </w:rPr>
        <w:t xml:space="preserve">               </w:t>
      </w:r>
      <w:r>
        <w:rPr>
          <w:rFonts w:cs="Arial" w:ascii="Arial" w:hAnsi="Arial"/>
          <w:b/>
          <w:sz w:val="21"/>
          <w:szCs w:val="21"/>
          <w:lang w:val="bs-BA"/>
        </w:rPr>
        <w:t xml:space="preserve">I RAZVOJ SERVISA</w:t>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Header"/>
        <w:ind w:firstLine="142" w:start="-142"/>
        <w:rPr>
          <w:rFonts w:ascii="Arial" w:hAnsi="Arial" w:cs="Arial"/>
          <w:sz w:val="21"/>
          <w:szCs w:val="21"/>
          <w:lang w:val="bs-BA"/>
        </w:rPr>
      </w:pPr>
      <w:r>
        <w:rPr>
          <w:rFonts w:cs="Arial" w:ascii="Arial" w:hAnsi="Arial"/>
          <w:b/>
          <w:sz w:val="21"/>
          <w:szCs w:val="21"/>
          <w:lang w:val="bs-BA"/>
        </w:rPr>
        <w:t xml:space="preserve">_______________________________                             _______________________________</w:t>
      </w:r>
    </w:p>
    <w:p>
      <w:pPr>
        <w:pStyle w:val="Normal"/>
        <w:ind w:firstLine="142" w:start="-142"/>
        <w:rPr>
          <w:rFonts w:ascii="Arial" w:hAnsi="Arial" w:cs="Arial"/>
          <w:b/>
          <w:sz w:val="21"/>
          <w:szCs w:val="21"/>
          <w:lang w:val="bs-BA"/>
        </w:rPr>
      </w:pPr>
      <w:r>
        <w:rPr>
          <w:rFonts w:cs="Arial" w:ascii="Arial" w:hAnsi="Arial"/>
          <w:b/>
          <w:color w:val="000000"/>
          <w:sz w:val="21"/>
          <w:szCs w:val="21"/>
          <w:lang w:val="bs-BA"/>
        </w:rPr>
        <w:t xml:space="preserve">           </w:t>
      </w:r>
      <w:r>
        <w:rPr>
          <w:rFonts w:cs="Arial" w:ascii="Arial" w:hAnsi="Arial"/>
          <w:b/>
          <w:color w:val="000000"/>
          <w:sz w:val="21"/>
          <w:szCs w:val="21"/>
          <w:lang w:val="bs-BA"/>
        </w:rPr>
        <w:t xml:space="preserve">mr. Muamer Durić, dipl.ing.el.</w:t>
      </w:r>
      <w:r>
        <w:rPr>
          <w:rFonts w:cs="Arial" w:ascii="Arial" w:hAnsi="Arial"/>
          <w:sz w:val="21"/>
          <w:szCs w:val="21"/>
          <w:lang w:val="bs-BA"/>
        </w:rPr>
        <w:t xml:space="preserve"> </w:t>
      </w:r>
      <w:r>
        <w:rPr>
          <w:rFonts w:cs="Arial" w:ascii="Arial" w:hAnsi="Arial"/>
          <w:b/>
          <w:sz w:val="21"/>
          <w:szCs w:val="21"/>
          <w:lang w:val="bs-BA"/>
        </w:rPr>
        <w:t xml:space="preserve">                                                     Saša Palinić</w:t>
      </w:r>
      <w:bookmarkEnd w:id="10"/>
      <w:bookmarkEnd w:id="11"/>
    </w:p>
    <w:sectPr>
      <w:headerReference w:type="even" r:id="rId30"/>
      <w:headerReference w:type="default" r:id="rId31"/>
      <w:headerReference w:type="first" r:id="rId32"/>
      <w:type w:val="nextPage"/>
      <w:pgSz w:w="11906" w:h="16838"/>
      <w:pgMar w:left="1134" w:right="1134" w:gutter="0" w:header="709" w:top="1418" w:footer="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Wingdings">
    <w:charset w:val="02"/>
    <w:family w:val="roman"/>
    <w:pitch w:val="variable"/>
  </w:font>
  <w:font w:name="Calibri">
    <w:charset w:val="00" w:characterSet="windows-1252"/>
    <w:family w:val="swiss"/>
    <w:pitch w:val="variable"/>
  </w:font>
  <w:font w:name="Courier New">
    <w:charset w:val="00" w:characterSet="windows-1252"/>
    <w:family w:val="roman"/>
    <w:pitch w:val="variable"/>
  </w:font>
  <w:font w:name="Tahoma">
    <w:charset w:val="00" w:characterSet="windows-1252"/>
    <w:family w:val="swiss"/>
    <w:pitch w:val="variable"/>
  </w:font>
  <w:font w:name="OpenSymbol">
    <w:altName w:val="Arial Unicode MS"/>
    <w:charset w:val="02"/>
    <w:family w:val="roman"/>
    <w:pitch w:val="variable"/>
  </w:font>
  <w:font w:name="Verdana">
    <w:charset w:val="00" w:characterSet="windows-1252"/>
    <w:family w:val="swiss"/>
    <w:pitch w:val="variable"/>
  </w:font>
  <w:font w:name="Arial MT">
    <w:charset w:val="00" w:characterSet="windows-1252"/>
    <w:family w:val="swiss"/>
    <w:pitch w:val="variable"/>
  </w:font>
  <w:font w:name="Wingdings">
    <w:charset w:val="02"/>
    <w:family w:val="auto"/>
    <w:pitch w:val="variable"/>
  </w:font>
  <w:font w:name="Arial">
    <w:charset w:val="01"/>
    <w:family w:val="swiss"/>
    <w:pitch w:val="variable"/>
  </w:font>
  <w:font w:name="Courier New">
    <w:charset w:val="01"/>
    <w:family w:val="modern"/>
    <w:pitch w:val="fixed"/>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align>right</wp:align>
          </wp:positionH>
          <wp:positionV relativeFrom="topMargin">
            <wp:align>center</wp:align>
          </wp:positionV>
          <wp:extent cx="1466850" cy="114300"/>
          <wp:effectExtent l="0" t="0" r="0" b="0"/>
          <wp:wrapNone/>
          <wp:docPr id="34" name="bjCLFRImageEven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jCLFRImageEven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Arial" w:hAnsi="Arial" w:cs="Arial"/>
        <w:b/>
        <w:sz w:val="22"/>
        <w:szCs w:val="22"/>
      </w:rPr>
    </w:pPr>
    <w:r>
      <w:rPr>
        <w:rFonts w:cs="Arial" w:ascii="Arial" w:hAnsi="Arial"/>
        <w:b/>
        <w:sz w:val="22"/>
        <w:szCs w:val="22"/>
      </w:rPr>
      <w:drawing>
        <wp:anchor distT="0" distB="0" distL="0" distR="0" simplePos="0" relativeHeight="7" behindDoc="1" locked="0" layoutInCell="0" allowOverlap="1">
          <wp:simplePos x="0" y="0"/>
          <wp:positionH relativeFrom="margin">
            <wp:align>right</wp:align>
          </wp:positionH>
          <wp:positionV relativeFrom="topMargin">
            <wp:align>center</wp:align>
          </wp:positionV>
          <wp:extent cx="1466850" cy="114300"/>
          <wp:effectExtent l="0" t="0" r="0" b="0"/>
          <wp:wrapNone/>
          <wp:docPr id="35" name="bjCLFRImagePrim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jCLFRImagePrim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rPr>
        <w:rFonts w:cs="Arial" w:ascii="Arial" w:hAnsi="Arial"/>
        <w:b/>
        <w:sz w:val="22"/>
        <w:szCs w:val="22"/>
      </w:rPr>
      <w:t>Izvršna direkcija za investicije</w:t>
    </w:r>
  </w:p>
  <w:p>
    <w:pPr>
      <w:pStyle w:val="Normal"/>
      <w:jc w:val="end"/>
      <w:rPr>
        <w:rFonts w:ascii="Arial" w:hAnsi="Arial" w:cs="Arial"/>
        <w:b/>
        <w:sz w:val="22"/>
        <w:szCs w:val="22"/>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6</w:t>
    </w:r>
    <w:r>
      <w:rPr>
        <w:rFonts w:cs="Arial" w:ascii="Arial" w:hAnsi="Arial"/>
        <w:b/>
        <w:sz w:val="22"/>
        <w:szCs w:val="22"/>
      </w:rPr>
      <w:fldChar w:fldCharType="end"/>
    </w:r>
    <w:r>
      <w:rPr>
        <w:rFonts w:cs="Arial" w:ascii="Arial" w:hAnsi="Arial"/>
        <w:b/>
        <w:sz w:val="22"/>
        <w:szCs w:val="22"/>
      </w:rPr>
      <w:t xml:space="preserve"> od 6</w:t>
    </w:r>
  </w:p>
  <w:p>
    <w:pPr>
      <w:pStyle w:val="Normal"/>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22"/>
        <w:szCs w:val="22"/>
      </w:rPr>
    </w:pPr>
    <w:r>
      <w:rPr>
        <w:rFonts w:cs="Arial" w:ascii="Arial" w:hAnsi="Arial"/>
        <w:b/>
        <w:sz w:val="22"/>
        <w:szCs w:val="22"/>
      </w:rPr>
      <w:drawing>
        <wp:anchor distT="0" distB="0" distL="0" distR="0" simplePos="0" relativeHeight="8" behindDoc="1" locked="0" layoutInCell="0" allowOverlap="1">
          <wp:simplePos x="0" y="0"/>
          <wp:positionH relativeFrom="margin">
            <wp:align>right</wp:align>
          </wp:positionH>
          <wp:positionV relativeFrom="topMargin">
            <wp:align>center</wp:align>
          </wp:positionV>
          <wp:extent cx="1466850" cy="114300"/>
          <wp:effectExtent l="0" t="0" r="0" b="0"/>
          <wp:wrapNone/>
          <wp:docPr id="36" name="bjCLFRImageFirst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jCLFRImageFirst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drawing>
        <wp:anchor distT="0" distB="0" distL="114935" distR="114935" simplePos="0" relativeHeight="2" behindDoc="1" locked="0" layoutInCell="0" allowOverlap="1">
          <wp:simplePos x="0" y="0"/>
          <wp:positionH relativeFrom="margin">
            <wp:posOffset>75565</wp:posOffset>
          </wp:positionH>
          <wp:positionV relativeFrom="margin">
            <wp:posOffset>-832485</wp:posOffset>
          </wp:positionV>
          <wp:extent cx="1121410" cy="664210"/>
          <wp:effectExtent l="0" t="0" r="0" b="0"/>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noChangeArrowheads="1"/>
                  </pic:cNvPicPr>
                </pic:nvPicPr>
                <pic:blipFill>
                  <a:blip r:embed="rId2"/>
                  <a:stretch>
                    <a:fillRect/>
                  </a:stretch>
                </pic:blipFill>
                <pic:spPr bwMode="auto">
                  <a:xfrm>
                    <a:off x="0" y="0"/>
                    <a:ext cx="1121410" cy="664210"/>
                  </a:xfrm>
                  <a:prstGeom prst="rect">
                    <a:avLst/>
                  </a:prstGeom>
                  <a:noFill/>
                </pic:spPr>
              </pic:pic>
            </a:graphicData>
          </a:graphic>
        </wp:anchor>
      </w:drawing>
    </w:r>
    <w:r>
      <w:rPr>
        <w:rFonts w:cs="Arial" w:ascii="Arial" w:hAnsi="Arial"/>
        <w:b/>
        <w:sz w:val="22"/>
        <w:szCs w:val="22"/>
      </w:rPr>
      <w:t xml:space="preserve"> </w:t>
    </w:r>
    <w:r>
      <w:rPr>
        <w:rFonts w:cs="Arial" w:ascii="Arial" w:hAnsi="Arial"/>
        <w:b/>
        <w:sz w:val="22"/>
        <w:szCs w:val="22"/>
      </w:rPr>
      <w:t>Izvršna direkcija za Investicije</w:t>
    </w:r>
  </w:p>
  <w:p>
    <w:pPr>
      <w:pStyle w:val="Normal"/>
      <w:jc w:val="end"/>
      <w:rPr/>
    </w:pPr>
    <w:r>
      <w:rPr>
        <w:rFonts w:cs="Arial" w:ascii="Arial" w:hAnsi="Arial"/>
        <w:b/>
        <w:sz w:val="22"/>
        <w:szCs w:val="22"/>
      </w:rPr>
      <w:t xml:space="preserve">Datum: </w:t>
    </w:r>
    <w:r>
      <w:rPr>
        <w:rFonts w:cs="Arial" w:ascii="Arial" w:hAnsi="Arial"/>
        <w:b/>
        <w:sz w:val="22"/>
        <w:szCs w:val="22"/>
        <w:highlight w:val="yellow"/>
      </w:rPr>
      <w:t>__.__</w:t>
    </w:r>
    <w:r>
      <w:rPr>
        <w:rFonts w:cs="Arial" w:ascii="Arial" w:hAnsi="Arial"/>
        <w:b/>
        <w:sz w:val="22"/>
        <w:szCs w:val="22"/>
      </w:rPr>
      <w:t>.2026. godine</w:t>
    </w:r>
  </w:p>
  <w:p>
    <w:pPr>
      <w:pStyle w:val="Normal"/>
      <w:jc w:val="end"/>
      <w:rPr>
        <w:rFonts w:ascii="Arial" w:hAnsi="Arial" w:cs="Arial"/>
        <w:b/>
        <w:sz w:val="22"/>
        <w:szCs w:val="22"/>
        <w:lang w:val="bs-BA" w:eastAsia="bs-BA"/>
      </w:rPr>
    </w:pPr>
    <w:r>
      <w:rPr>
        <w:rFonts w:cs="Arial" w:ascii="Arial" w:hAnsi="Arial"/>
        <w:b/>
        <w:sz w:val="22"/>
        <w:szCs w:val="22"/>
      </w:rPr>
      <w:t xml:space="preserve">Broj: </w:t>
    </w:r>
    <w:r>
      <w:rPr>
        <w:rFonts w:cs="Arial" w:ascii="Arial" w:hAnsi="Arial"/>
        <w:b/>
        <w:sz w:val="22"/>
        <w:szCs w:val="22"/>
        <w:lang w:val="bs-BA" w:eastAsia="bs-BA"/>
      </w:rPr>
      <w:t>06.1.1.1-14- _</w:t>
    </w:r>
    <w:r>
      <w:rPr>
        <w:rFonts w:cs="Arial" w:ascii="Arial" w:hAnsi="Arial"/>
        <w:b/>
        <w:sz w:val="22"/>
        <w:szCs w:val="22"/>
        <w:highlight w:val="yellow"/>
        <w:lang w:val="bs-BA" w:eastAsia="bs-BA"/>
      </w:rPr>
      <w:t>_____</w:t>
    </w:r>
    <w:r>
      <w:rPr>
        <w:rFonts w:cs="Arial" w:ascii="Arial" w:hAnsi="Arial"/>
        <w:b/>
        <w:sz w:val="22"/>
        <w:szCs w:val="22"/>
        <w:lang w:val="bs-BA" w:eastAsia="bs-BA"/>
      </w:rPr>
      <w:t>-2/26</w:t>
    </w:r>
  </w:p>
  <w:p>
    <w:pPr>
      <w:pStyle w:val="Normal"/>
      <w:jc w:val="end"/>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1</w:t>
    </w:r>
    <w:r>
      <w:rPr>
        <w:rFonts w:cs="Arial" w:ascii="Arial" w:hAnsi="Arial"/>
        <w:b/>
        <w:sz w:val="22"/>
        <w:szCs w:val="22"/>
      </w:rPr>
      <w:fldChar w:fldCharType="end"/>
    </w:r>
    <w:r>
      <w:rPr>
        <w:rFonts w:cs="Arial" w:ascii="Arial" w:hAnsi="Arial"/>
        <w:b/>
        <w:sz w:val="22"/>
        <w:szCs w:val="22"/>
      </w:rPr>
      <w:t xml:space="preserve"> od 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bullet"/>
      <w:pStyle w:val="Heading2"/>
      <w:lvlText w:val=""/>
      <w:lvlJc w:val="start"/>
      <w:pPr>
        <w:tabs>
          <w:tab w:val="num" w:pos="1440"/>
        </w:tabs>
        <w:ind w:start="1440" w:hanging="360"/>
      </w:pPr>
      <w:rPr>
        <w:rFonts w:ascii="Wingdings" w:hAnsi="Wingdings" w:cs="Wingdings" w:hint="default"/>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8"/>
      <w:numFmt w:val="bullet"/>
      <w:lvlText w:val="-"/>
      <w:lvlJc w:val="start"/>
      <w:pPr>
        <w:tabs>
          <w:tab w:val="num" w:pos="0"/>
        </w:tabs>
        <w:ind w:start="720" w:hanging="360"/>
      </w:pPr>
      <w:rPr>
        <w:rFonts w:ascii="Arial" w:hAnsi="Arial" w:cs="Arial" w:hint="default"/>
        <w:color w:val="00000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2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s-Latn-B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bs-BA" w:eastAsia="bs-BA"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71be0"/>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lang w:val="en-US"/>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outlineLvl w:val="2"/>
    </w:pPr>
    <w:rPr>
      <w:rFonts w:ascii="Arial" w:hAnsi="Arial" w:cs="Arial"/>
      <w:b/>
      <w:bCs/>
      <w:sz w:val="22"/>
      <w:szCs w:val="20"/>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rFonts w:ascii="Wingdings" w:hAnsi="Wingdings" w:cs="Wingdings"/>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Arial" w:hAnsi="Arial" w:cs="Arial"/>
      <w:color w:val="000000"/>
      <w:sz w:val="22"/>
      <w:szCs w:val="22"/>
      <w:lang w:val="hr-HR"/>
    </w:rPr>
  </w:style>
  <w:style w:type="character" w:styleId="WW8Num3z0" w:customStyle="1">
    <w:name w:val="WW8Num3z0"/>
    <w:qFormat/>
    <w:rPr>
      <w:rFonts w:ascii="Arial" w:hAnsi="Arial" w:cs="Arial"/>
      <w:color w:val="000000"/>
      <w:sz w:val="22"/>
      <w:szCs w:val="22"/>
    </w:rPr>
  </w:style>
  <w:style w:type="character" w:styleId="WW8Num4z0" w:customStyle="1">
    <w:name w:val="WW8Num4z0"/>
    <w:qFormat/>
    <w:rPr>
      <w:rFonts w:ascii="Calibri" w:hAnsi="Calibri" w:cs="Calibri"/>
      <w:sz w:val="22"/>
      <w:szCs w:val="22"/>
    </w:rPr>
  </w:style>
  <w:style w:type="character" w:styleId="WW8Num5z0" w:customStyle="1">
    <w:name w:val="WW8Num5z0"/>
    <w:qFormat/>
    <w:rPr>
      <w:rFonts w:ascii="Symbol" w:hAnsi="Symbol" w:cs="Symbol"/>
      <w:sz w:val="18"/>
      <w:szCs w:val="20"/>
    </w:rPr>
  </w:style>
  <w:style w:type="character" w:styleId="DefaultParagraphFont1" w:customStyle="1">
    <w:name w:val="Default Paragraph Font1"/>
    <w:qFormat/>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6z0" w:customStyle="1">
    <w:name w:val="WW8Num6z0"/>
    <w:qFormat/>
    <w:rPr>
      <w:rFonts w:cs="Times New Roman"/>
      <w:sz w:val="24"/>
    </w:rPr>
  </w:style>
  <w:style w:type="character" w:styleId="WW8Num7z0" w:customStyle="1">
    <w:name w:val="WW8Num7z0"/>
    <w:qFormat/>
    <w:rPr>
      <w:rFonts w:ascii="Symbol" w:hAnsi="Symbol" w:cs="Symbol"/>
    </w:rPr>
  </w:style>
  <w:style w:type="character" w:styleId="WW8Num8z0" w:customStyle="1">
    <w:name w:val="WW8Num8z0"/>
    <w:qFormat/>
    <w:rPr>
      <w:rFonts w:ascii="Arial" w:hAnsi="Arial" w:cs="Arial"/>
    </w:rPr>
  </w:style>
  <w:style w:type="character" w:styleId="WW8Num9z0" w:customStyle="1">
    <w:name w:val="WW8Num9z0"/>
    <w:qFormat/>
    <w:rPr/>
  </w:style>
  <w:style w:type="character" w:styleId="WW8Num10z0" w:customStyle="1">
    <w:name w:val="WW8Num10z0"/>
    <w:qFormat/>
    <w:rPr>
      <w:rFonts w:ascii="Arial" w:hAnsi="Arial" w:cs="Arial"/>
    </w:rPr>
  </w:style>
  <w:style w:type="character" w:styleId="WW8Num11z0" w:customStyle="1">
    <w:name w:val="WW8Num11z0"/>
    <w:qFormat/>
    <w:rPr/>
  </w:style>
  <w:style w:type="character" w:styleId="WW8Num12z0" w:customStyle="1">
    <w:name w:val="WW8Num12z0"/>
    <w:qFormat/>
    <w:rPr>
      <w:rFonts w:ascii="Arial" w:hAnsi="Arial" w:cs="Arial"/>
    </w:rPr>
  </w:style>
  <w:style w:type="character" w:styleId="WW8Num13z0" w:customStyle="1">
    <w:name w:val="WW8Num13z0"/>
    <w:qFormat/>
    <w:rPr>
      <w:rFonts w:cs="Times New Roman"/>
      <w:sz w:val="24"/>
    </w:rPr>
  </w:style>
  <w:style w:type="character" w:styleId="WW8Num14z0" w:customStyle="1">
    <w:name w:val="WW8Num14z0"/>
    <w:qFormat/>
    <w:rPr/>
  </w:style>
  <w:style w:type="character" w:styleId="WW8Num14z1" w:customStyle="1">
    <w:name w:val="WW8Num14z1"/>
    <w:qFormat/>
    <w:rPr>
      <w:rFonts w:ascii="Symbol" w:hAnsi="Symbol" w:cs="Symbol"/>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Arial" w:hAnsi="Arial" w:eastAsia="Times New Roman" w:cs="Arial"/>
      <w:color w:val="000000"/>
      <w:sz w:val="22"/>
      <w:szCs w:val="22"/>
      <w:lang w:val="hr-HR"/>
    </w:rPr>
  </w:style>
  <w:style w:type="character" w:styleId="WW8Num15z1" w:customStyle="1">
    <w:name w:val="WW8Num15z1"/>
    <w:qFormat/>
    <w:rPr>
      <w:rFonts w:ascii="Courier New" w:hAnsi="Courier New" w:cs="Courier New"/>
    </w:rPr>
  </w:style>
  <w:style w:type="character" w:styleId="WW8Num15z2" w:customStyle="1">
    <w:name w:val="WW8Num15z2"/>
    <w:qFormat/>
    <w:rPr>
      <w:rFonts w:ascii="Wingdings" w:hAnsi="Wingdings" w:cs="Wingdings"/>
    </w:rPr>
  </w:style>
  <w:style w:type="character" w:styleId="WW8Num15z3" w:customStyle="1">
    <w:name w:val="WW8Num15z3"/>
    <w:qFormat/>
    <w:rPr>
      <w:rFonts w:ascii="Symbol" w:hAnsi="Symbol" w:cs="Symbol"/>
    </w:rPr>
  </w:style>
  <w:style w:type="character" w:styleId="WW8Num16z0" w:customStyle="1">
    <w:name w:val="WW8Num16z0"/>
    <w:qFormat/>
    <w:rPr>
      <w:rFonts w:ascii="Arial" w:hAnsi="Arial" w:eastAsia="Times New Roman" w:cs="Arial"/>
      <w:color w:val="000000"/>
      <w:sz w:val="22"/>
      <w:szCs w:val="22"/>
    </w:rPr>
  </w:style>
  <w:style w:type="character" w:styleId="WW8Num16z1" w:customStyle="1">
    <w:name w:val="WW8Num16z1"/>
    <w:qFormat/>
    <w:rPr>
      <w:rFonts w:ascii="Courier New" w:hAnsi="Courier New" w:cs="Courier New"/>
    </w:rPr>
  </w:style>
  <w:style w:type="character" w:styleId="WW8Num16z2" w:customStyle="1">
    <w:name w:val="WW8Num16z2"/>
    <w:qFormat/>
    <w:rPr>
      <w:rFonts w:ascii="Wingdings" w:hAnsi="Wingdings" w:cs="Wingdings"/>
    </w:rPr>
  </w:style>
  <w:style w:type="character" w:styleId="WW8Num16z3" w:customStyle="1">
    <w:name w:val="WW8Num16z3"/>
    <w:qFormat/>
    <w:rPr>
      <w:rFonts w:ascii="Symbol" w:hAnsi="Symbol" w:cs="Symbol"/>
    </w:rPr>
  </w:style>
  <w:style w:type="character" w:styleId="WW8Num17z0" w:customStyle="1">
    <w:name w:val="WW8Num17z0"/>
    <w:qFormat/>
    <w:rPr>
      <w:rFonts w:ascii="Symbol" w:hAnsi="Symbol" w:cs="Symbol"/>
    </w:rPr>
  </w:style>
  <w:style w:type="character" w:styleId="WW8Num17z1" w:customStyle="1">
    <w:name w:val="WW8Num17z1"/>
    <w:qFormat/>
    <w:rPr>
      <w:rFonts w:ascii="Courier New" w:hAnsi="Courier New" w:cs="Courier New"/>
    </w:rPr>
  </w:style>
  <w:style w:type="character" w:styleId="WW8Num17z2" w:customStyle="1">
    <w:name w:val="WW8Num17z2"/>
    <w:qFormat/>
    <w:rPr>
      <w:rFonts w:ascii="Wingdings" w:hAnsi="Wingdings" w:cs="Wingdings"/>
    </w:rPr>
  </w:style>
  <w:style w:type="character" w:styleId="WW8Num18z0" w:customStyle="1">
    <w:name w:val="WW8Num18z0"/>
    <w:qFormat/>
    <w:rPr>
      <w:rFonts w:ascii="Calibri" w:hAnsi="Calibri" w:eastAsia="Calibri" w:cs="Calibri"/>
      <w:sz w:val="22"/>
      <w:szCs w:val="22"/>
    </w:rPr>
  </w:style>
  <w:style w:type="character" w:styleId="WW8Num18z1" w:customStyle="1">
    <w:name w:val="WW8Num18z1"/>
    <w:qFormat/>
    <w:rPr>
      <w:rFonts w:ascii="Courier New" w:hAnsi="Courier New" w:cs="Courier New"/>
    </w:rPr>
  </w:style>
  <w:style w:type="character" w:styleId="WW8Num18z2" w:customStyle="1">
    <w:name w:val="WW8Num18z2"/>
    <w:qFormat/>
    <w:rPr>
      <w:rFonts w:ascii="Wingdings" w:hAnsi="Wingdings" w:cs="Wingdings"/>
    </w:rPr>
  </w:style>
  <w:style w:type="character" w:styleId="WW8Num18z3" w:customStyle="1">
    <w:name w:val="WW8Num18z3"/>
    <w:qFormat/>
    <w:rPr>
      <w:rFonts w:ascii="Symbol" w:hAnsi="Symbol" w:cs="Symbol"/>
    </w:rPr>
  </w:style>
  <w:style w:type="character" w:styleId="WW8Num19z0" w:customStyle="1">
    <w:name w:val="WW8Num19z0"/>
    <w:qFormat/>
    <w:rPr>
      <w:rFonts w:ascii="Symbol" w:hAnsi="Symbol" w:cs="Symbol"/>
      <w:sz w:val="18"/>
      <w:szCs w:val="20"/>
    </w:rPr>
  </w:style>
  <w:style w:type="character" w:styleId="WW8Num19z1" w:customStyle="1">
    <w:name w:val="WW8Num19z1"/>
    <w:qFormat/>
    <w:rPr>
      <w:rFonts w:ascii="Courier New" w:hAnsi="Courier New" w:cs="Courier New"/>
    </w:rPr>
  </w:style>
  <w:style w:type="character" w:styleId="WW8Num19z2" w:customStyle="1">
    <w:name w:val="WW8Num19z2"/>
    <w:qFormat/>
    <w:rPr>
      <w:rFonts w:ascii="Wingdings" w:hAnsi="Wingdings" w:cs="Wingdings"/>
    </w:rPr>
  </w:style>
  <w:style w:type="character" w:styleId="WW8Num20z0" w:customStyle="1">
    <w:name w:val="WW8Num20z0"/>
    <w:qFormat/>
    <w:rPr/>
  </w:style>
  <w:style w:type="character" w:styleId="WW8Num20z1" w:customStyle="1">
    <w:name w:val="WW8Num20z1"/>
    <w:qFormat/>
    <w:rPr>
      <w:rFonts w:ascii="Wingdings" w:hAnsi="Wingdings" w:cs="Wingdings"/>
    </w:rPr>
  </w:style>
  <w:style w:type="character" w:styleId="WW8Num20z2" w:customStyle="1">
    <w:name w:val="WW8Num20z2"/>
    <w:qFormat/>
    <w:rPr>
      <w:rFonts w:ascii="Arial" w:hAnsi="Arial" w:eastAsia="Times New Roman" w:cs="Arial"/>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DefaultParagraphFont" w:customStyle="1">
    <w:name w:val="WW-Default Paragraph Font"/>
    <w:qFormat/>
    <w:rPr/>
  </w:style>
  <w:style w:type="character" w:styleId="normaltextsmall" w:customStyle="1">
    <w:name w:val="normaltextsmall"/>
    <w:basedOn w:val="WW-DefaultParagraphFont"/>
    <w:qFormat/>
    <w:rPr/>
  </w:style>
  <w:style w:type="character" w:styleId="HeaderChar" w:customStyle="1">
    <w:name w:val="Header Char"/>
    <w:qFormat/>
    <w:rPr>
      <w:sz w:val="24"/>
      <w:szCs w:val="24"/>
      <w:lang w:val="hr-HR" w:bidi="ar-SA"/>
    </w:rPr>
  </w:style>
  <w:style w:type="character" w:styleId="CommentReference">
    <w:name w:val="annotation reference"/>
    <w:qFormat/>
    <w:rPr>
      <w:sz w:val="16"/>
      <w:szCs w:val="16"/>
    </w:rPr>
  </w:style>
  <w:style w:type="character" w:styleId="TitleChar" w:customStyle="1">
    <w:name w:val="Title Char"/>
    <w:qFormat/>
    <w:rPr>
      <w:rFonts w:ascii="Cambria" w:hAnsi="Cambria" w:eastAsia="Times New Roman" w:cs="Times New Roman"/>
      <w:b/>
      <w:bCs/>
      <w:kern w:val="2"/>
      <w:sz w:val="32"/>
      <w:szCs w:val="32"/>
      <w:lang w:val="hr-HR"/>
    </w:rPr>
  </w:style>
  <w:style w:type="character" w:styleId="Heading2Char" w:customStyle="1">
    <w:name w:val="Heading 2 Char"/>
    <w:qFormat/>
    <w:rPr>
      <w:rFonts w:ascii="Cambria" w:hAnsi="Cambria" w:cs="Cambria"/>
      <w:b/>
      <w:bCs/>
      <w:i/>
      <w:iCs/>
      <w:sz w:val="28"/>
      <w:szCs w:val="28"/>
      <w:lang w:val="en-US" w:eastAsia="zh-CN"/>
    </w:rPr>
  </w:style>
  <w:style w:type="character" w:styleId="WW8Num13z1" w:customStyle="1">
    <w:name w:val="WW8Num13z1"/>
    <w:qFormat/>
    <w:rPr>
      <w:rFonts w:ascii="Courier New" w:hAnsi="Courier New" w:cs="Courier New"/>
    </w:rPr>
  </w:style>
  <w:style w:type="character" w:styleId="WW8Num13z2" w:customStyle="1">
    <w:name w:val="WW8Num13z2"/>
    <w:qFormat/>
    <w:rPr>
      <w:rFonts w:ascii="Wingdings" w:hAnsi="Wingdings" w:cs="Wingdings"/>
    </w:rPr>
  </w:style>
  <w:style w:type="character" w:styleId="WW8Num13z3" w:customStyle="1">
    <w:name w:val="WW8Num13z3"/>
    <w:qFormat/>
    <w:rPr>
      <w:rFonts w:ascii="Symbol" w:hAnsi="Symbol" w:cs="Symbol"/>
    </w:rPr>
  </w:style>
  <w:style w:type="character" w:styleId="WW8Num22z0" w:customStyle="1">
    <w:name w:val="WW8Num22z0"/>
    <w:qFormat/>
    <w:rPr>
      <w:rFonts w:cs="Times New Roman"/>
      <w:sz w:val="24"/>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Courier New"/>
    </w:rPr>
  </w:style>
  <w:style w:type="character" w:styleId="WW8Num23z2" w:customStyle="1">
    <w:name w:val="WW8Num23z2"/>
    <w:qFormat/>
    <w:rPr>
      <w:rFonts w:ascii="Wingdings" w:hAnsi="Wingdings" w:cs="Wingdings"/>
    </w:rPr>
  </w:style>
  <w:style w:type="character" w:styleId="WW8Num30z0" w:customStyle="1">
    <w:name w:val="WW8Num30z0"/>
    <w:qFormat/>
    <w:rPr>
      <w:rFonts w:ascii="Arial" w:hAnsi="Arial" w:eastAsia="Times New Roman" w:cs="Arial"/>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0z3" w:customStyle="1">
    <w:name w:val="WW8Num30z3"/>
    <w:qFormat/>
    <w:rPr>
      <w:rFonts w:ascii="Symbol" w:hAnsi="Symbol" w:cs="Symbol"/>
    </w:rPr>
  </w:style>
  <w:style w:type="character" w:styleId="WW8Num31z0" w:customStyle="1">
    <w:name w:val="WW8Num31z0"/>
    <w:qFormat/>
    <w:rPr>
      <w:rFonts w:ascii="Arial" w:hAnsi="Arial" w:eastAsia="Times New Roman" w:cs="Arial"/>
    </w:rPr>
  </w:style>
  <w:style w:type="character" w:styleId="WW8Num31z1" w:customStyle="1">
    <w:name w:val="WW8Num31z1"/>
    <w:qFormat/>
    <w:rPr>
      <w:rFonts w:ascii="Courier New" w:hAnsi="Courier New" w:cs="Courier New"/>
    </w:rPr>
  </w:style>
  <w:style w:type="character" w:styleId="WW8Num31z2" w:customStyle="1">
    <w:name w:val="WW8Num31z2"/>
    <w:qFormat/>
    <w:rPr>
      <w:rFonts w:ascii="Wingdings" w:hAnsi="Wingdings" w:cs="Wingdings"/>
    </w:rPr>
  </w:style>
  <w:style w:type="character" w:styleId="WW8Num31z3" w:customStyle="1">
    <w:name w:val="WW8Num31z3"/>
    <w:qFormat/>
    <w:rPr>
      <w:rFonts w:ascii="Symbol" w:hAnsi="Symbol" w:cs="Symbol"/>
    </w:rPr>
  </w:style>
  <w:style w:type="character" w:styleId="WW8Num33z0" w:customStyle="1">
    <w:name w:val="WW8Num33z0"/>
    <w:qFormat/>
    <w:rPr>
      <w:rFonts w:ascii="Arial" w:hAnsi="Arial" w:eastAsia="Times New Roman" w:cs="Arial"/>
    </w:rPr>
  </w:style>
  <w:style w:type="character" w:styleId="WW8Num37z0" w:customStyle="1">
    <w:name w:val="WW8Num37z0"/>
    <w:qFormat/>
    <w:rPr>
      <w:rFonts w:ascii="Arial" w:hAnsi="Arial" w:eastAsia="Times New Roman" w:cs="Arial"/>
    </w:rPr>
  </w:style>
  <w:style w:type="character" w:styleId="WW8Num37z1" w:customStyle="1">
    <w:name w:val="WW8Num37z1"/>
    <w:qFormat/>
    <w:rPr>
      <w:rFonts w:ascii="Courier New" w:hAnsi="Courier New" w:cs="Courier New"/>
    </w:rPr>
  </w:style>
  <w:style w:type="character" w:styleId="WW8Num37z2" w:customStyle="1">
    <w:name w:val="WW8Num37z2"/>
    <w:qFormat/>
    <w:rPr>
      <w:rFonts w:ascii="Wingdings" w:hAnsi="Wingdings" w:cs="Wingdings"/>
    </w:rPr>
  </w:style>
  <w:style w:type="character" w:styleId="WW8Num37z3" w:customStyle="1">
    <w:name w:val="WW8Num37z3"/>
    <w:qFormat/>
    <w:rPr>
      <w:rFonts w:ascii="Symbol" w:hAnsi="Symbol" w:cs="Symbol"/>
    </w:rPr>
  </w:style>
  <w:style w:type="character" w:styleId="WW8Num38z0" w:customStyle="1">
    <w:name w:val="WW8Num38z0"/>
    <w:qFormat/>
    <w:rPr>
      <w:rFonts w:ascii="Arial" w:hAnsi="Arial" w:eastAsia="Times New Roman" w:cs="Arial"/>
    </w:rPr>
  </w:style>
  <w:style w:type="character" w:styleId="WW8Num38z1" w:customStyle="1">
    <w:name w:val="WW8Num38z1"/>
    <w:qFormat/>
    <w:rPr>
      <w:rFonts w:ascii="Courier New" w:hAnsi="Courier New" w:cs="Courier New"/>
    </w:rPr>
  </w:style>
  <w:style w:type="character" w:styleId="WW8Num38z2" w:customStyle="1">
    <w:name w:val="WW8Num38z2"/>
    <w:qFormat/>
    <w:rPr>
      <w:rFonts w:ascii="Wingdings" w:hAnsi="Wingdings" w:cs="Wingdings"/>
    </w:rPr>
  </w:style>
  <w:style w:type="character" w:styleId="WW8Num38z3" w:customStyle="1">
    <w:name w:val="WW8Num38z3"/>
    <w:qFormat/>
    <w:rPr>
      <w:rFonts w:ascii="Symbol" w:hAnsi="Symbol" w:cs="Symbol"/>
    </w:rPr>
  </w:style>
  <w:style w:type="character" w:styleId="WW8Num40z0" w:customStyle="1">
    <w:name w:val="WW8Num40z0"/>
    <w:qFormat/>
    <w:rPr>
      <w:rFonts w:ascii="Arial" w:hAnsi="Arial" w:eastAsia="Times New Roman" w:cs="Arial"/>
    </w:rPr>
  </w:style>
  <w:style w:type="character" w:styleId="WW8Num40z1" w:customStyle="1">
    <w:name w:val="WW8Num40z1"/>
    <w:qFormat/>
    <w:rPr>
      <w:rFonts w:ascii="Courier New" w:hAnsi="Courier New" w:cs="Courier New"/>
    </w:rPr>
  </w:style>
  <w:style w:type="character" w:styleId="WW8Num40z2" w:customStyle="1">
    <w:name w:val="WW8Num40z2"/>
    <w:qFormat/>
    <w:rPr>
      <w:rFonts w:ascii="Wingdings" w:hAnsi="Wingdings" w:cs="Wingdings"/>
    </w:rPr>
  </w:style>
  <w:style w:type="character" w:styleId="WW8Num40z3" w:customStyle="1">
    <w:name w:val="WW8Num40z3"/>
    <w:qFormat/>
    <w:rPr>
      <w:rFonts w:ascii="Symbol" w:hAnsi="Symbol" w:cs="Symbol"/>
    </w:rPr>
  </w:style>
  <w:style w:type="character" w:styleId="WW8Num41z0" w:customStyle="1">
    <w:name w:val="WW8Num41z0"/>
    <w:qFormat/>
    <w:rPr>
      <w:rFonts w:cs="Times New Roman"/>
      <w:sz w:val="24"/>
    </w:rPr>
  </w:style>
  <w:style w:type="character" w:styleId="WW8Num42z1" w:customStyle="1">
    <w:name w:val="WW8Num42z1"/>
    <w:qFormat/>
    <w:rPr>
      <w:rFonts w:ascii="Symbol" w:hAnsi="Symbol" w:cs="Symbol"/>
    </w:rPr>
  </w:style>
  <w:style w:type="character" w:styleId="Heading1Char" w:customStyle="1">
    <w:name w:val="Heading 1 Char"/>
    <w:qFormat/>
    <w:rPr>
      <w:rFonts w:ascii="Cambria" w:hAnsi="Cambria" w:eastAsia="Times New Roman" w:cs="Times New Roman"/>
      <w:b/>
      <w:bCs/>
      <w:kern w:val="2"/>
      <w:sz w:val="32"/>
      <w:szCs w:val="32"/>
      <w:lang w:val="en-US"/>
    </w:rPr>
  </w:style>
  <w:style w:type="character" w:styleId="WW8Num4z1" w:customStyle="1">
    <w:name w:val="WW8Num4z1"/>
    <w:qFormat/>
    <w:rPr>
      <w:rFonts w:ascii="Symbol" w:hAnsi="Symbol" w:eastAsia="Times New Roman" w:cs="Arial"/>
    </w:rPr>
  </w:style>
  <w:style w:type="character" w:styleId="WW8Num4z2" w:customStyle="1">
    <w:name w:val="WW8Num4z2"/>
    <w:qFormat/>
    <w:rPr>
      <w:rFonts w:ascii="Wingdings" w:hAnsi="Wingdings" w:cs="Wingdings"/>
    </w:rPr>
  </w:style>
  <w:style w:type="character" w:styleId="WW8Num4z3" w:customStyle="1">
    <w:name w:val="WW8Num4z3"/>
    <w:qFormat/>
    <w:rPr>
      <w:rFonts w:ascii="Symbol" w:hAnsi="Symbol" w:cs="Symbol"/>
    </w:rPr>
  </w:style>
  <w:style w:type="character" w:styleId="WW8Num4z4" w:customStyle="1">
    <w:name w:val="WW8Num4z4"/>
    <w:qFormat/>
    <w:rPr>
      <w:rFonts w:ascii="Courier New" w:hAnsi="Courier New" w:cs="Courier New"/>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6z1" w:customStyle="1">
    <w:name w:val="WW8Num6z1"/>
    <w:qFormat/>
    <w:rPr>
      <w:rFonts w:ascii="Courier New" w:hAnsi="Courier New" w:cs="Courier New"/>
    </w:rPr>
  </w:style>
  <w:style w:type="character" w:styleId="WW8Num6z3" w:customStyle="1">
    <w:name w:val="WW8Num6z3"/>
    <w:qFormat/>
    <w:rPr>
      <w:rFonts w:ascii="Symbol" w:hAnsi="Symbol" w:cs="Symbol"/>
    </w:rPr>
  </w:style>
  <w:style w:type="character" w:styleId="WW8Num7z1" w:customStyle="1">
    <w:name w:val="WW8Num7z1"/>
    <w:qFormat/>
    <w:rPr>
      <w:rFonts w:ascii="Courier New" w:hAnsi="Courier New" w:cs="Courier New"/>
    </w:rPr>
  </w:style>
  <w:style w:type="character" w:styleId="WW8Num7z2" w:customStyle="1">
    <w:name w:val="WW8Num7z2"/>
    <w:qFormat/>
    <w:rPr>
      <w:rFonts w:ascii="Wingdings" w:hAnsi="Wingdings" w:cs="Wingdings"/>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1" w:customStyle="1">
    <w:name w:val="WW8Num10z1"/>
    <w:qFormat/>
    <w:rPr>
      <w:rFonts w:ascii="Courier New" w:hAnsi="Courier New" w:cs="Courier New"/>
    </w:rPr>
  </w:style>
  <w:style w:type="character" w:styleId="WW8Num10z2" w:customStyle="1">
    <w:name w:val="WW8Num10z2"/>
    <w:qFormat/>
    <w:rPr>
      <w:rFonts w:ascii="Wingdings" w:hAnsi="Wingdings" w:cs="Wingdings"/>
    </w:rPr>
  </w:style>
  <w:style w:type="character" w:styleId="WW8Num11z1" w:customStyle="1">
    <w:name w:val="WW8Num11z1"/>
    <w:qFormat/>
    <w:rPr>
      <w:rFonts w:ascii="Courier New" w:hAnsi="Courier New" w:cs="Courier New"/>
    </w:rPr>
  </w:style>
  <w:style w:type="character" w:styleId="WW8Num11z2" w:customStyle="1">
    <w:name w:val="WW8Num11z2"/>
    <w:qFormat/>
    <w:rPr>
      <w:rFonts w:ascii="Wingdings" w:hAnsi="Wingdings" w:cs="Wingdings"/>
    </w:rPr>
  </w:style>
  <w:style w:type="character" w:styleId="WW8Num11z3" w:customStyle="1">
    <w:name w:val="WW8Num11z3"/>
    <w:qFormat/>
    <w:rPr>
      <w:rFonts w:ascii="Symbol" w:hAnsi="Symbol" w:cs="Symbol"/>
    </w:rPr>
  </w:style>
  <w:style w:type="character" w:styleId="WW8Num12z1" w:customStyle="1">
    <w:name w:val="WW8Num12z1"/>
    <w:qFormat/>
    <w:rPr>
      <w:rFonts w:ascii="Courier New" w:hAnsi="Courier New" w:cs="Courier New"/>
    </w:rPr>
  </w:style>
  <w:style w:type="character" w:styleId="WW8Num12z2" w:customStyle="1">
    <w:name w:val="WW8Num12z2"/>
    <w:qFormat/>
    <w:rPr>
      <w:rFonts w:ascii="Wingdings" w:hAnsi="Wingdings" w:cs="Wingdings"/>
    </w:rPr>
  </w:style>
  <w:style w:type="character" w:styleId="WW8Num17z3" w:customStyle="1">
    <w:name w:val="WW8Num17z3"/>
    <w:qFormat/>
    <w:rPr>
      <w:rFonts w:ascii="Symbol" w:hAnsi="Symbol" w:cs="Symbol"/>
    </w:rPr>
  </w:style>
  <w:style w:type="character" w:styleId="WW8Num19z3" w:customStyle="1">
    <w:name w:val="WW8Num19z3"/>
    <w:qFormat/>
    <w:rPr>
      <w:rFonts w:ascii="Symbol" w:hAnsi="Symbol" w:cs="Symbol"/>
    </w:rPr>
  </w:style>
  <w:style w:type="character" w:styleId="Heading3Char" w:customStyle="1">
    <w:name w:val="Heading 3 Char"/>
    <w:qFormat/>
    <w:rPr>
      <w:rFonts w:ascii="Arial" w:hAnsi="Arial" w:cs="Arial"/>
      <w:b/>
      <w:bCs/>
      <w:sz w:val="26"/>
      <w:szCs w:val="26"/>
      <w:lang w:val="hr-BA"/>
    </w:rPr>
  </w:style>
  <w:style w:type="character" w:styleId="BodyTextChar" w:customStyle="1">
    <w:name w:val="Body Text Char"/>
    <w:qFormat/>
    <w:rPr>
      <w:rFonts w:ascii="Arial" w:hAnsi="Arial" w:cs="Arial"/>
      <w:sz w:val="22"/>
      <w:szCs w:val="22"/>
      <w:lang w:val="hr-HR"/>
    </w:rPr>
  </w:style>
  <w:style w:type="character" w:styleId="PageNumber">
    <w:name w:val="page number"/>
    <w:rPr/>
  </w:style>
  <w:style w:type="character" w:styleId="Hyperlink">
    <w:name w:val="Hyperlink"/>
    <w:rPr>
      <w:color w:val="0000FF"/>
      <w:u w:val="single"/>
    </w:rPr>
  </w:style>
  <w:style w:type="character" w:styleId="Emphasis">
    <w:name w:val="Emphasis"/>
    <w:qFormat/>
    <w:rPr>
      <w:i/>
      <w:iCs/>
    </w:rPr>
  </w:style>
  <w:style w:type="character" w:styleId="CommentTextChar" w:customStyle="1">
    <w:name w:val="Comment Text Char"/>
    <w:qFormat/>
    <w:rPr>
      <w:lang w:val="en-US"/>
    </w:rPr>
  </w:style>
  <w:style w:type="character" w:styleId="CommentSubjectChar" w:customStyle="1">
    <w:name w:val="Comment Subject Char"/>
    <w:qFormat/>
    <w:rPr>
      <w:b/>
      <w:bCs/>
      <w:lang w:val="en-US"/>
    </w:rPr>
  </w:style>
  <w:style w:type="character" w:styleId="FooterChar" w:customStyle="1">
    <w:name w:val="Footer Char"/>
    <w:qFormat/>
    <w:rPr>
      <w:rFonts w:ascii="Arial" w:hAnsi="Arial" w:cs="Arial"/>
      <w:sz w:val="22"/>
      <w:szCs w:val="24"/>
      <w:lang w:val="en-US"/>
    </w:rPr>
  </w:style>
  <w:style w:type="character" w:styleId="BalloonTextChar" w:customStyle="1">
    <w:name w:val="Balloon Text Char"/>
    <w:qFormat/>
    <w:rPr>
      <w:rFonts w:ascii="Tahoma" w:hAnsi="Tahoma" w:cs="Tahoma"/>
      <w:sz w:val="16"/>
      <w:szCs w:val="16"/>
      <w:lang w:val="en-US"/>
    </w:rPr>
  </w:style>
  <w:style w:type="character" w:styleId="FollowedHyperlink">
    <w:name w:val="FollowedHyperlink"/>
    <w:rPr>
      <w:color w:val="800080"/>
      <w:u w:val="single"/>
    </w:rPr>
  </w:style>
  <w:style w:type="character" w:styleId="apple-style-span" w:customStyle="1">
    <w:name w:val="apple-style-span"/>
    <w:qFormat/>
    <w:rPr/>
  </w:style>
  <w:style w:type="character" w:styleId="apple-converted-space" w:customStyle="1">
    <w:name w:val="apple-converted-space"/>
    <w:qFormat/>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CommentTextChar1" w:customStyle="1">
    <w:name w:val="Comment Text Char1"/>
    <w:qFormat/>
    <w:rPr>
      <w:lang w:val="en-US" w:eastAsia="zh-CN"/>
    </w:rPr>
  </w:style>
  <w:style w:type="character" w:styleId="CommentSubjectChar1" w:customStyle="1">
    <w:name w:val="Comment Subject Char1"/>
    <w:qFormat/>
    <w:rPr>
      <w:b/>
      <w:bCs/>
      <w:lang w:val="en-US" w:eastAsia="zh-CN"/>
    </w:rPr>
  </w:style>
  <w:style w:type="character" w:styleId="WW8Num1zfalse" w:customStyle="1">
    <w:name w:val="WW8Num1zfalse"/>
    <w:qFormat/>
    <w:rPr/>
  </w:style>
  <w:style w:type="character" w:styleId="WW8Num1ztrue" w:customStyle="1">
    <w:name w:val="WW8Num1ztrue"/>
    <w:qFormat/>
    <w:rPr/>
  </w:style>
  <w:style w:type="character" w:styleId="WW8Num2zfalse" w:customStyle="1">
    <w:name w:val="WW8Num2zfalse"/>
    <w:qFormat/>
    <w:rPr/>
  </w:style>
  <w:style w:type="character" w:styleId="WW8Num2ztrue" w:customStyle="1">
    <w:name w:val="WW8Num2ztrue"/>
    <w:qFormat/>
    <w:rPr/>
  </w:style>
  <w:style w:type="character" w:styleId="WW8Num9zfalse" w:customStyle="1">
    <w:name w:val="WW8Num9zfalse"/>
    <w:qFormat/>
    <w:rPr/>
  </w:style>
  <w:style w:type="character" w:styleId="WW8Num12zfalse" w:customStyle="1">
    <w:name w:val="WW8Num12zfalse"/>
    <w:qFormat/>
    <w:rPr/>
  </w:style>
  <w:style w:type="character" w:styleId="WW8Num12ztrue" w:customStyle="1">
    <w:name w:val="WW8Num12ztrue"/>
    <w:qFormat/>
    <w:rPr/>
  </w:style>
  <w:style w:type="character" w:styleId="WW8Num21z0" w:customStyle="1">
    <w:name w:val="WW8Num21z0"/>
    <w:qFormat/>
    <w:rPr>
      <w:b/>
      <w:sz w:val="24"/>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4z0" w:customStyle="1">
    <w:name w:val="WW8Num24z0"/>
    <w:qFormat/>
    <w:rPr>
      <w:rFonts w:ascii="Arial" w:hAnsi="Arial" w:eastAsia="Times New Roman" w:cs="Arial"/>
    </w:rPr>
  </w:style>
  <w:style w:type="character" w:styleId="WW8Num24z1" w:customStyle="1">
    <w:name w:val="WW8Num24z1"/>
    <w:qFormat/>
    <w:rPr>
      <w:rFonts w:ascii="Courier New" w:hAnsi="Courier New" w:cs="Courier New"/>
    </w:rPr>
  </w:style>
  <w:style w:type="character" w:styleId="WW8Num24z2" w:customStyle="1">
    <w:name w:val="WW8Num24z2"/>
    <w:qFormat/>
    <w:rPr>
      <w:rFonts w:ascii="Wingdings" w:hAnsi="Wingdings" w:cs="Wingdings"/>
    </w:rPr>
  </w:style>
  <w:style w:type="character" w:styleId="WW8Num24z3" w:customStyle="1">
    <w:name w:val="WW8Num24z3"/>
    <w:qFormat/>
    <w:rPr>
      <w:rFonts w:ascii="Symbol" w:hAnsi="Symbol" w:cs="Symbol"/>
    </w:rPr>
  </w:style>
  <w:style w:type="character" w:styleId="WW8Num26z0" w:customStyle="1">
    <w:name w:val="WW8Num26z0"/>
    <w:qFormat/>
    <w:rPr>
      <w:rFonts w:ascii="Symbol" w:hAnsi="Symbol" w:cs="Symbol"/>
    </w:rPr>
  </w:style>
  <w:style w:type="character" w:styleId="WW8Num26z1" w:customStyle="1">
    <w:name w:val="WW8Num26z1"/>
    <w:qFormat/>
    <w:rPr>
      <w:rFonts w:ascii="Courier New" w:hAnsi="Courier New" w:cs="Courier New"/>
    </w:rPr>
  </w:style>
  <w:style w:type="character" w:styleId="WW8Num26z2" w:customStyle="1">
    <w:name w:val="WW8Num26z2"/>
    <w:qFormat/>
    <w:rPr>
      <w:rFonts w:ascii="Wingdings" w:hAnsi="Wingdings" w:cs="Wingdings"/>
    </w:rPr>
  </w:style>
  <w:style w:type="character" w:styleId="WW8Num27z0" w:customStyle="1">
    <w:name w:val="WW8Num27z0"/>
    <w:qFormat/>
    <w:rPr>
      <w:rFonts w:ascii="Symbol" w:hAnsi="Symbol" w:cs="Symbol"/>
    </w:rPr>
  </w:style>
  <w:style w:type="character" w:styleId="WW8Num27z1" w:customStyle="1">
    <w:name w:val="WW8Num27z1"/>
    <w:qFormat/>
    <w:rPr>
      <w:rFonts w:ascii="Courier New" w:hAnsi="Courier New" w:cs="Courier New"/>
    </w:rPr>
  </w:style>
  <w:style w:type="character" w:styleId="WW8Num27z2" w:customStyle="1">
    <w:name w:val="WW8Num27z2"/>
    <w:qFormat/>
    <w:rPr>
      <w:rFonts w:ascii="Wingdings" w:hAnsi="Wingdings" w:cs="Wingdings"/>
    </w:rPr>
  </w:style>
  <w:style w:type="character" w:styleId="WW8Num29z0" w:customStyle="1">
    <w:name w:val="WW8Num29z0"/>
    <w:qFormat/>
    <w:rPr>
      <w:rFonts w:ascii="Symbol" w:hAnsi="Symbol" w:cs="Symbol"/>
    </w:rPr>
  </w:style>
  <w:style w:type="character" w:styleId="WW8Num29z1" w:customStyle="1">
    <w:name w:val="WW8Num29z1"/>
    <w:qFormat/>
    <w:rPr>
      <w:rFonts w:ascii="Courier New" w:hAnsi="Courier New" w:cs="Courier New"/>
    </w:rPr>
  </w:style>
  <w:style w:type="character" w:styleId="WW8Num29z2" w:customStyle="1">
    <w:name w:val="WW8Num29z2"/>
    <w:qFormat/>
    <w:rPr>
      <w:rFonts w:ascii="Wingdings" w:hAnsi="Wingdings" w:cs="Wingdings"/>
    </w:rPr>
  </w:style>
  <w:style w:type="character" w:styleId="WW8Num32z0" w:customStyle="1">
    <w:name w:val="WW8Num32z0"/>
    <w:qFormat/>
    <w:rPr>
      <w:rFonts w:ascii="Symbol" w:hAnsi="Symbol" w:cs="Symbol"/>
    </w:rPr>
  </w:style>
  <w:style w:type="character" w:styleId="WW8Num32z1" w:customStyle="1">
    <w:name w:val="WW8Num32z1"/>
    <w:qFormat/>
    <w:rPr>
      <w:rFonts w:ascii="Courier New" w:hAnsi="Courier New" w:cs="Courier New"/>
    </w:rPr>
  </w:style>
  <w:style w:type="character" w:styleId="WW8Num32z2" w:customStyle="1">
    <w:name w:val="WW8Num32z2"/>
    <w:qFormat/>
    <w:rPr>
      <w:rFonts w:ascii="Wingdings" w:hAnsi="Wingdings" w:cs="Wingdings"/>
    </w:rPr>
  </w:style>
  <w:style w:type="character" w:styleId="WW-DefaultParagraphFont1" w:customStyle="1">
    <w:name w:val="WW-Default Paragraph Font1"/>
    <w:qFormat/>
    <w:rPr/>
  </w:style>
  <w:style w:type="character" w:styleId="WW-DefaultParagraphFont11" w:customStyle="1">
    <w:name w:val="WW-Default Paragraph Font11"/>
    <w:qFormat/>
    <w:rPr/>
  </w:style>
  <w:style w:type="character" w:styleId="NumberingSymbols" w:customStyle="1">
    <w:name w:val="Numbering Symbols"/>
    <w:qFormat/>
    <w:rPr/>
  </w:style>
  <w:style w:type="character" w:styleId="IndexLink" w:customStyle="1">
    <w:name w:val="Index Link"/>
    <w:qFormat/>
    <w:rPr/>
  </w:style>
  <w:style w:type="character" w:styleId="FootnoteTextChar" w:customStyle="1">
    <w:name w:val="Footnote Text Char"/>
    <w:qFormat/>
    <w:rPr>
      <w:lang w:val="hr-HR"/>
    </w:rPr>
  </w:style>
  <w:style w:type="character" w:styleId="FootnoteCharactersuser" w:customStyle="1">
    <w:name w:val="Footnote Characters (user)"/>
    <w:qFormat/>
    <w:rPr>
      <w:vertAlign w:val="superscript"/>
    </w:rPr>
  </w:style>
  <w:style w:type="character" w:styleId="RegtextChar" w:customStyle="1">
    <w:name w:val="Reg text Char"/>
    <w:qFormat/>
    <w:rPr>
      <w:rFonts w:ascii="Arial" w:hAnsi="Arial" w:cs="Arial"/>
      <w:sz w:val="22"/>
      <w:szCs w:val="24"/>
    </w:rPr>
  </w:style>
  <w:style w:type="character" w:styleId="PlaceholderText">
    <w:name w:val="Placeholder Text"/>
    <w:qFormat/>
    <w:rPr>
      <w:color w:val="808080"/>
    </w:rPr>
  </w:style>
  <w:style w:type="character" w:styleId="FONormalChar" w:customStyle="1">
    <w:name w:val="FO Normal Char"/>
    <w:qFormat/>
    <w:rPr>
      <w:rFonts w:ascii="Calibri" w:hAnsi="Calibri" w:cs="Calibri"/>
      <w:sz w:val="22"/>
      <w:szCs w:val="22"/>
      <w:lang w:val="hr-HR"/>
    </w:rPr>
  </w:style>
  <w:style w:type="character" w:styleId="PlainTextChar" w:customStyle="1">
    <w:name w:val="Plain Text Char"/>
    <w:qFormat/>
    <w:rPr>
      <w:rFonts w:ascii="Calibri" w:hAnsi="Calibri" w:eastAsia="Calibri" w:cs="Calibri"/>
      <w:sz w:val="22"/>
      <w:szCs w:val="21"/>
      <w:lang w:val="en-US"/>
    </w:rPr>
  </w:style>
  <w:style w:type="character" w:styleId="ListParagraphChar" w:customStyle="1">
    <w:name w:val="List Paragraph Char"/>
    <w:link w:val="ListParagraph"/>
    <w:uiPriority w:val="34"/>
    <w:qFormat/>
    <w:rsid w:val="00f363ae"/>
    <w:rPr>
      <w:sz w:val="24"/>
      <w:szCs w:val="24"/>
      <w:lang w:val="en-US" w:eastAsia="zh-CN"/>
    </w:rPr>
  </w:style>
  <w:style w:type="character" w:styleId="NoSpacingChar" w:customStyle="1">
    <w:name w:val="No Spacing Char"/>
    <w:link w:val="NoSpacing"/>
    <w:uiPriority w:val="1"/>
    <w:qFormat/>
    <w:rsid w:val="00361672"/>
    <w:rPr>
      <w:sz w:val="24"/>
      <w:szCs w:val="24"/>
      <w:lang w:val="hr-HR" w:eastAsia="zh-CN"/>
    </w:rPr>
  </w:style>
  <w:style w:type="paragraph" w:styleId="Heading" w:customStyle="1">
    <w:name w:val="Heading"/>
    <w:basedOn w:val="Normal"/>
    <w:next w:val="Normal"/>
    <w:qFormat/>
    <w:pPr>
      <w:spacing w:before="240" w:after="60"/>
      <w:jc w:val="center"/>
    </w:pPr>
    <w:rPr>
      <w:rFonts w:ascii="Cambria" w:hAnsi="Cambria" w:cs="Cambria"/>
      <w:b/>
      <w:bCs/>
      <w:kern w:val="2"/>
      <w:sz w:val="32"/>
      <w:szCs w:val="32"/>
    </w:rPr>
  </w:style>
  <w:style w:type="paragraph" w:styleId="BodyText">
    <w:name w:val="Body Text"/>
    <w:basedOn w:val="Normal"/>
    <w:pPr>
      <w:jc w:val="both"/>
    </w:pPr>
    <w:rPr>
      <w:rFonts w:ascii="Arial" w:hAnsi="Arial" w:cs="Arial"/>
      <w:bCs/>
      <w:sz w:val="22"/>
    </w:rPr>
  </w:style>
  <w:style w:type="paragraph" w:styleId="List">
    <w:name w:val="List"/>
    <w:basedOn w:val="BodyText"/>
    <w:pPr>
      <w:spacing w:before="120" w:after="0"/>
    </w:pPr>
    <w:rPr>
      <w:rFonts w:cs="Tahoma"/>
      <w:bCs w:val="false"/>
      <w:szCs w:val="22"/>
    </w:rPr>
  </w:style>
  <w:style w:type="paragraph" w:styleId="Caption">
    <w:name w:val="caption"/>
    <w:basedOn w:val="Normal"/>
    <w:qFormat/>
    <w:pPr>
      <w:suppressLineNumbers/>
      <w:spacing w:before="120" w:after="120"/>
    </w:pPr>
    <w:rPr>
      <w:rFonts w:cs="Tahoma"/>
      <w:i/>
      <w:iCs/>
      <w:lang w:val="en-US"/>
    </w:rPr>
  </w:style>
  <w:style w:type="paragraph" w:styleId="Index" w:customStyle="1">
    <w:name w:val="Index"/>
    <w:basedOn w:val="Normal"/>
    <w:qFormat/>
    <w:pPr>
      <w:suppressLineNumbers/>
    </w:pPr>
    <w:rPr>
      <w:rFonts w:cs="Tahoma"/>
      <w:lang w:val="en-US"/>
    </w:rPr>
  </w:style>
  <w:style w:type="paragraph" w:styleId="HeaderandFooter">
    <w:name w:val="Header and Footer"/>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BodyText2">
    <w:name w:val="Body Text 2"/>
    <w:basedOn w:val="Normal"/>
    <w:qFormat/>
    <w:pPr>
      <w:spacing w:lineRule="auto" w:line="480" w:before="0" w:after="120"/>
    </w:pPr>
    <w:rPr>
      <w:lang w:val="bs-BA"/>
    </w:rPr>
  </w:style>
  <w:style w:type="paragraph" w:styleId="normalnumbering" w:customStyle="1">
    <w:name w:val="normalnumbering"/>
    <w:basedOn w:val="Normal"/>
    <w:qFormat/>
    <w:pPr>
      <w:spacing w:before="280" w:after="280"/>
    </w:pPr>
    <w:rPr>
      <w:lang w:val="en-US"/>
    </w:rPr>
  </w:style>
  <w:style w:type="paragraph" w:styleId="BalloonText">
    <w:name w:val="Balloon Text"/>
    <w:basedOn w:val="Normal"/>
    <w:qFormat/>
    <w:rsid w:val="00f71be0"/>
    <w:pPr/>
    <w:rPr>
      <w:rFonts w:ascii="Arial" w:hAnsi="Arial" w:cs="Tahoma"/>
      <w:sz w:val="20"/>
      <w:szCs w:val="16"/>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
    <w:name w:val="Body Text Indent"/>
    <w:basedOn w:val="Normal"/>
    <w:pPr>
      <w:spacing w:before="0" w:after="120"/>
      <w:ind w:start="283"/>
    </w:pPr>
    <w:rPr/>
  </w:style>
  <w:style w:type="paragraph" w:styleId="NoSpacing">
    <w:name w:val="No Spacing"/>
    <w:link w:val="NoSpacingChar"/>
    <w:uiPriority w:val="1"/>
    <w:qFormat/>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WW-Heading" w:customStyle="1">
    <w:name w:val="WW-Heading"/>
    <w:basedOn w:val="Normal"/>
    <w:next w:val="BodyText"/>
    <w:qFormat/>
    <w:pPr>
      <w:keepNext w:val="true"/>
      <w:spacing w:before="240" w:after="120"/>
    </w:pPr>
    <w:rPr>
      <w:rFonts w:ascii="Arial" w:hAnsi="Arial" w:eastAsia="Lucida Sans Unicode" w:cs="Tahoma"/>
      <w:sz w:val="28"/>
      <w:szCs w:val="28"/>
      <w:lang w:val="en-US"/>
    </w:rPr>
  </w:style>
  <w:style w:type="paragraph" w:styleId="Heading3Verdana" w:customStyle="1">
    <w:name w:val="Heading 3 + Verdana"/>
    <w:basedOn w:val="Heading3"/>
    <w:qFormat/>
    <w:pPr>
      <w:spacing w:before="240" w:after="60"/>
    </w:pPr>
    <w:rPr>
      <w:sz w:val="26"/>
      <w:szCs w:val="26"/>
      <w:lang w:val="it-IT"/>
    </w:rPr>
  </w:style>
  <w:style w:type="paragraph" w:styleId="Heading4Verdana" w:customStyle="1">
    <w:name w:val="Heading 4 + Verdana"/>
    <w:basedOn w:val="Heading3Verdana"/>
    <w:qFormat/>
    <w:pPr/>
    <w:rPr/>
  </w:style>
  <w:style w:type="paragraph" w:styleId="TOC1">
    <w:name w:val="toc 1"/>
    <w:basedOn w:val="Normal"/>
    <w:next w:val="Normal"/>
    <w:pPr/>
    <w:rPr>
      <w:lang w:val="hr-BA"/>
    </w:rPr>
  </w:style>
  <w:style w:type="paragraph" w:styleId="TOC2">
    <w:name w:val="toc 2"/>
    <w:basedOn w:val="Normal"/>
    <w:next w:val="Normal"/>
    <w:pPr>
      <w:ind w:start="240"/>
    </w:pPr>
    <w:rPr>
      <w:lang w:val="hr-BA"/>
    </w:rPr>
  </w:style>
  <w:style w:type="paragraph" w:styleId="TOC3">
    <w:name w:val="toc 3"/>
    <w:basedOn w:val="Normal"/>
    <w:next w:val="Normal"/>
    <w:pPr>
      <w:ind w:start="480"/>
    </w:pPr>
    <w:rPr>
      <w:lang w:val="hr-BA"/>
    </w:rPr>
  </w:style>
  <w:style w:type="paragraph" w:styleId="small" w:customStyle="1">
    <w:name w:val="small"/>
    <w:qFormat/>
    <w:pPr>
      <w:widowControl/>
      <w:suppressAutoHyphens w:val="true"/>
      <w:bidi w:val="0"/>
      <w:spacing w:before="0" w:after="0"/>
      <w:jc w:val="start"/>
    </w:pPr>
    <w:rPr>
      <w:rFonts w:ascii="Verdana" w:hAnsi="Verdana" w:eastAsia="Verdana" w:cs="Verdana"/>
      <w:color w:val="auto"/>
      <w:kern w:val="0"/>
      <w:sz w:val="2"/>
      <w:szCs w:val="2"/>
      <w:lang w:val="en-US" w:eastAsia="zh-CN" w:bidi="ar-SA"/>
    </w:rPr>
  </w:style>
  <w:style w:type="paragraph" w:styleId="TOC4">
    <w:name w:val="toc 4"/>
    <w:basedOn w:val="Index"/>
    <w:pPr>
      <w:tabs>
        <w:tab w:val="clear" w:pos="709"/>
        <w:tab w:val="right" w:pos="9123" w:leader="dot"/>
      </w:tabs>
      <w:ind w:start="849"/>
    </w:pPr>
    <w:rPr/>
  </w:style>
  <w:style w:type="paragraph" w:styleId="TOC5">
    <w:name w:val="toc 5"/>
    <w:basedOn w:val="Index"/>
    <w:pPr>
      <w:tabs>
        <w:tab w:val="clear" w:pos="709"/>
        <w:tab w:val="right" w:pos="8840" w:leader="dot"/>
      </w:tabs>
      <w:ind w:start="1132"/>
    </w:pPr>
    <w:rPr/>
  </w:style>
  <w:style w:type="paragraph" w:styleId="TOC6">
    <w:name w:val="toc 6"/>
    <w:basedOn w:val="Index"/>
    <w:pPr>
      <w:tabs>
        <w:tab w:val="clear" w:pos="709"/>
        <w:tab w:val="right" w:pos="8557" w:leader="dot"/>
      </w:tabs>
      <w:ind w:start="1415"/>
    </w:pPr>
    <w:rPr/>
  </w:style>
  <w:style w:type="paragraph" w:styleId="TOC7">
    <w:name w:val="toc 7"/>
    <w:basedOn w:val="Index"/>
    <w:pPr>
      <w:tabs>
        <w:tab w:val="clear" w:pos="709"/>
        <w:tab w:val="right" w:pos="8274" w:leader="dot"/>
      </w:tabs>
      <w:ind w:start="1698"/>
    </w:pPr>
    <w:rPr/>
  </w:style>
  <w:style w:type="paragraph" w:styleId="TOC8">
    <w:name w:val="toc 8"/>
    <w:basedOn w:val="Index"/>
    <w:pPr>
      <w:tabs>
        <w:tab w:val="clear" w:pos="709"/>
        <w:tab w:val="right" w:pos="7991" w:leader="dot"/>
      </w:tabs>
      <w:ind w:start="1981"/>
    </w:pPr>
    <w:rPr/>
  </w:style>
  <w:style w:type="paragraph" w:styleId="TOC9">
    <w:name w:val="toc 9"/>
    <w:basedOn w:val="Index"/>
    <w:pPr>
      <w:tabs>
        <w:tab w:val="clear" w:pos="709"/>
        <w:tab w:val="right" w:pos="7708" w:leader="dot"/>
      </w:tabs>
      <w:ind w:start="2264"/>
    </w:pPr>
    <w:rPr/>
  </w:style>
  <w:style w:type="paragraph" w:styleId="Contents10" w:customStyle="1">
    <w:name w:val="Contents 10"/>
    <w:basedOn w:val="Index"/>
    <w:qFormat/>
    <w:pPr>
      <w:tabs>
        <w:tab w:val="clear" w:pos="709"/>
        <w:tab w:val="right" w:pos="7425" w:leader="dot"/>
      </w:tabs>
      <w:ind w:start="2547"/>
    </w:pPr>
    <w:rPr/>
  </w:style>
  <w:style w:type="paragraph" w:styleId="TableContents" w:customStyle="1">
    <w:name w:val="Table Contents"/>
    <w:basedOn w:val="Normal"/>
    <w:qFormat/>
    <w:pPr>
      <w:suppressLineNumbers/>
    </w:pPr>
    <w:rPr>
      <w:lang w:val="en-US"/>
    </w:rPr>
  </w:style>
  <w:style w:type="paragraph" w:styleId="TableHeading" w:customStyle="1">
    <w:name w:val="Table Heading"/>
    <w:basedOn w:val="TableContents"/>
    <w:qFormat/>
    <w:pPr>
      <w:jc w:val="center"/>
    </w:pPr>
    <w:rPr>
      <w:b/>
      <w:bCs/>
    </w:rPr>
  </w:style>
  <w:style w:type="paragraph" w:styleId="Style11" w:customStyle="1">
    <w:name w:val="Style1"/>
    <w:basedOn w:val="Heading1"/>
    <w:qFormat/>
    <w:pPr>
      <w:tabs>
        <w:tab w:val="clear" w:pos="709"/>
        <w:tab w:val="left" w:pos="432" w:leader="none"/>
      </w:tabs>
      <w:ind w:hanging="432" w:start="432"/>
    </w:pPr>
    <w:rPr>
      <w:iCs/>
      <w:lang w:val="hr-BA"/>
    </w:rPr>
  </w:style>
  <w:style w:type="paragraph" w:styleId="CommentText">
    <w:name w:val="annotation text"/>
    <w:basedOn w:val="Normal"/>
    <w:pPr/>
    <w:rPr>
      <w:sz w:val="20"/>
      <w:szCs w:val="20"/>
      <w:lang w:val="en-US"/>
    </w:rPr>
  </w:style>
  <w:style w:type="paragraph" w:styleId="NormalWeb">
    <w:name w:val="Normal (Web)"/>
    <w:basedOn w:val="Normal"/>
    <w:uiPriority w:val="99"/>
    <w:qFormat/>
    <w:pPr>
      <w:spacing w:before="280" w:after="280"/>
    </w:pPr>
    <w:rPr>
      <w:lang w:val="bs-BA"/>
    </w:rPr>
  </w:style>
  <w:style w:type="paragraph" w:styleId="annotationsubject">
    <w:name w:val="annotation subject"/>
    <w:basedOn w:val="CommentText"/>
    <w:next w:val="CommentText"/>
    <w:qFormat/>
    <w:pPr/>
    <w:rPr>
      <w:b/>
      <w:bCs/>
    </w:rPr>
  </w:style>
  <w:style w:type="paragraph" w:styleId="ListParagraph">
    <w:name w:val="List Paragraph"/>
    <w:basedOn w:val="Normal"/>
    <w:link w:val="ListParagraphChar"/>
    <w:uiPriority w:val="34"/>
    <w:qFormat/>
    <w:pPr>
      <w:ind w:start="708"/>
    </w:pPr>
    <w:rPr>
      <w:lang w:val="en-US"/>
    </w:rPr>
  </w:style>
  <w:style w:type="paragraph" w:styleId="Style21" w:customStyle="1">
    <w:name w:val="Style2"/>
    <w:basedOn w:val="Heading3"/>
    <w:qFormat/>
    <w:pPr>
      <w:tabs>
        <w:tab w:val="clear" w:pos="709"/>
        <w:tab w:val="left" w:pos="720" w:leader="none"/>
      </w:tabs>
      <w:ind w:hanging="720" w:start="720"/>
    </w:pPr>
    <w:rPr>
      <w:szCs w:val="18"/>
      <w:lang w:val="en-GB"/>
    </w:rPr>
  </w:style>
  <w:style w:type="paragraph" w:styleId="FrameContents" w:customStyle="1">
    <w:name w:val="Frame Contents"/>
    <w:basedOn w:val="BodyText"/>
    <w:qFormat/>
    <w:pPr/>
    <w:rPr/>
  </w:style>
  <w:style w:type="paragraph" w:styleId="FrameContentsuser" w:customStyle="1">
    <w:name w:val="Frame Contents (user)"/>
    <w:basedOn w:val="BodyText"/>
    <w:qFormat/>
    <w:pPr/>
    <w:rPr/>
  </w:style>
  <w:style w:type="paragraph" w:styleId="text" w:customStyle="1">
    <w:name w:val="text"/>
    <w:basedOn w:val="Normal"/>
    <w:qFormat/>
    <w:pPr>
      <w:spacing w:before="45" w:after="120"/>
      <w:ind w:start="225" w:end="150"/>
    </w:pPr>
    <w:rPr>
      <w:rFonts w:ascii="Tahoma" w:hAnsi="Tahoma" w:cs="Tahoma"/>
      <w:color w:val="000000"/>
      <w:sz w:val="20"/>
      <w:szCs w:val="20"/>
      <w:lang w:val="bs-BA"/>
    </w:rPr>
  </w:style>
  <w:style w:type="paragraph" w:styleId="FootnoteText">
    <w:name w:val="footnote text"/>
    <w:basedOn w:val="Normal"/>
    <w:pPr/>
    <w:rPr>
      <w:sz w:val="20"/>
      <w:szCs w:val="20"/>
    </w:rPr>
  </w:style>
  <w:style w:type="paragraph" w:styleId="Regtext" w:customStyle="1">
    <w:name w:val="Reg text"/>
    <w:basedOn w:val="Normal"/>
    <w:qFormat/>
    <w:pPr>
      <w:spacing w:before="240" w:after="240"/>
      <w:jc w:val="both"/>
    </w:pPr>
    <w:rPr>
      <w:rFonts w:ascii="Arial" w:hAnsi="Arial" w:cs="Arial"/>
      <w:sz w:val="22"/>
      <w:lang w:val="x-none"/>
    </w:rPr>
  </w:style>
  <w:style w:type="paragraph" w:styleId="FONormal" w:customStyle="1">
    <w:name w:val="FO Normal"/>
    <w:basedOn w:val="Normal"/>
    <w:qFormat/>
    <w:pPr>
      <w:spacing w:before="120" w:after="0"/>
    </w:pPr>
    <w:rPr>
      <w:rFonts w:ascii="Calibri" w:hAnsi="Calibri" w:cs="Calibri"/>
      <w:sz w:val="22"/>
      <w:szCs w:val="22"/>
    </w:rPr>
  </w:style>
  <w:style w:type="paragraph" w:styleId="PlainText">
    <w:name w:val="Plain Text"/>
    <w:basedOn w:val="Normal"/>
    <w:qFormat/>
    <w:pPr/>
    <w:rPr>
      <w:rFonts w:ascii="Calibri" w:hAnsi="Calibri" w:eastAsia="Calibri" w:cs="Calibri"/>
      <w:sz w:val="22"/>
      <w:szCs w:val="21"/>
      <w:lang w:val="en-US"/>
    </w:rPr>
  </w:style>
  <w:style w:type="paragraph" w:styleId="BODY1" w:customStyle="1">
    <w:name w:val="BODY 1"/>
    <w:basedOn w:val="Normal"/>
    <w:qFormat/>
    <w:rsid w:val="00a8603e"/>
    <w:pPr>
      <w:suppressAutoHyphens w:val="false"/>
      <w:jc w:val="both"/>
    </w:pPr>
    <w:rPr>
      <w:rFonts w:ascii="Arial" w:hAnsi="Arial"/>
      <w:sz w:val="22"/>
      <w:szCs w:val="20"/>
      <w:lang w:eastAsia="en-US"/>
    </w:rPr>
  </w:style>
  <w:style w:type="paragraph" w:styleId="Default" w:customStyle="1">
    <w:name w:val="Default"/>
    <w:qFormat/>
    <w:rsid w:val="00da1004"/>
    <w:pPr>
      <w:widowControl/>
      <w:bidi w:val="0"/>
      <w:spacing w:before="0" w:after="0"/>
      <w:jc w:val="start"/>
    </w:pPr>
    <w:rPr>
      <w:rFonts w:ascii="Arial" w:hAnsi="Arial" w:cs="Arial" w:eastAsia="Times New Roman"/>
      <w:color w:val="000000"/>
      <w:kern w:val="0"/>
      <w:sz w:val="24"/>
      <w:szCs w:val="24"/>
      <w:lang w:val="bs-BA" w:eastAsia="bs-BA" w:bidi="ar-SA"/>
    </w:rPr>
  </w:style>
  <w:style w:type="paragraph" w:styleId="TableParagraph" w:customStyle="1">
    <w:name w:val="Table Paragraph"/>
    <w:basedOn w:val="Normal"/>
    <w:uiPriority w:val="1"/>
    <w:qFormat/>
    <w:rsid w:val="00630402"/>
    <w:pPr>
      <w:widowControl w:val="false"/>
      <w:suppressAutoHyphens w:val="false"/>
      <w:spacing w:lineRule="exact" w:line="218"/>
      <w:ind w:start="-4"/>
    </w:pPr>
    <w:rPr>
      <w:rFonts w:ascii="Arial MT" w:hAnsi="Arial MT" w:eastAsia="Arial MT" w:cs="Arial MT"/>
      <w:sz w:val="22"/>
      <w:szCs w:val="22"/>
      <w:lang w:val="bs-BA"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271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image" Target="media/image14.wmf"/><Relationship Id="rId16" Type="http://schemas.openxmlformats.org/officeDocument/2006/relationships/image" Target="media/image15.wmf"/><Relationship Id="rId17" Type="http://schemas.openxmlformats.org/officeDocument/2006/relationships/image" Target="media/image16.wmf"/><Relationship Id="rId18" Type="http://schemas.openxmlformats.org/officeDocument/2006/relationships/image" Target="media/image17.wmf"/><Relationship Id="rId19" Type="http://schemas.openxmlformats.org/officeDocument/2006/relationships/image" Target="media/image18.wmf"/><Relationship Id="rId20" Type="http://schemas.openxmlformats.org/officeDocument/2006/relationships/image" Target="media/image19.wmf"/><Relationship Id="rId21" Type="http://schemas.openxmlformats.org/officeDocument/2006/relationships/image" Target="media/image20.wmf"/><Relationship Id="rId22" Type="http://schemas.openxmlformats.org/officeDocument/2006/relationships/image" Target="media/image21.wmf"/><Relationship Id="rId23" Type="http://schemas.openxmlformats.org/officeDocument/2006/relationships/image" Target="media/image22.wmf"/><Relationship Id="rId24" Type="http://schemas.openxmlformats.org/officeDocument/2006/relationships/image" Target="media/image23.wmf"/><Relationship Id="rId25" Type="http://schemas.openxmlformats.org/officeDocument/2006/relationships/image" Target="media/image24.wmf"/><Relationship Id="rId26" Type="http://schemas.openxmlformats.org/officeDocument/2006/relationships/image" Target="media/image25.wmf"/><Relationship Id="rId27" Type="http://schemas.openxmlformats.org/officeDocument/2006/relationships/image" Target="media/image26.wmf"/><Relationship Id="rId28" Type="http://schemas.openxmlformats.org/officeDocument/2006/relationships/image" Target="media/image27.wmf"/><Relationship Id="rId29" Type="http://schemas.openxmlformats.org/officeDocument/2006/relationships/image" Target="media/image28.wmf"/><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9.png"/>
</Relationships>
</file>

<file path=word/_rels/header2.xml.rels><?xml version="1.0" encoding="UTF-8"?>
<Relationships xmlns="http://schemas.openxmlformats.org/package/2006/relationships"><Relationship Id="rId1" Type="http://schemas.openxmlformats.org/officeDocument/2006/relationships/image" Target="media/image29.png"/>
</Relationships>
</file>

<file path=word/_rels/header3.xml.rels><?xml version="1.0" encoding="UTF-8"?>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5f91bfb2-a9c1-45d0-8517-08b1f316eb15" origin="userSelected">
  <element uid="id_classification_confidential" value=""/>
</sisl>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VEVMRUNPTVxoYXNuaWphYjwvVXNlck5hbWU+PERhdGVUaW1lPjE3LjcuMjAyMyA2OjEzOjM4PC9EYXRlVGltZT48TGFiZWxTdHJpbmc+UG92amVybGppdm88L0xhYmVsU3RyaW5nPjwvaXRlbT48L2xhYmVsSGlzdG9yeT4=</Value>
</WrappedLabelHistory>
</file>

<file path=customXml/itemProps1.xml><?xml version="1.0" encoding="utf-8"?>
<ds:datastoreItem xmlns:ds="http://schemas.openxmlformats.org/officeDocument/2006/customXml" ds:itemID="{EF102EBD-CB49-4909-86C0-C54B17F91905}">
  <ds:schemaRefs>
    <ds:schemaRef ds:uri="http://schemas.openxmlformats.org/officeDocument/2006/bibliography"/>
  </ds:schemaRefs>
</ds:datastoreItem>
</file>

<file path=customXml/itemProps2.xml><?xml version="1.0" encoding="utf-8"?>
<ds:datastoreItem xmlns:ds="http://schemas.openxmlformats.org/officeDocument/2006/customXml" ds:itemID="{B7B38680-433B-4D4F-B405-48A434C3CBB2}">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E77B611-9807-45A5-91D5-7DA1B15614F8}">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LibreOffice/26.2.5.2$Windows_X86_64 LibreOffice_project/cd7284b4cbbfeb507e630c1aac019f4157393acb</Application>
  <AppVersion>15.0000</AppVersion>
  <Pages>6</Pages>
  <Words>2170</Words>
  <Characters>13317</Characters>
  <CharactersWithSpaces>15835</CharactersWithSpaces>
  <Paragraphs>170</Paragraphs>
  <Company>BH Telecom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2026-07-06T08:14:00Z</dcterms:created>
  <dc:creator>bh telecom</dc:creator>
  <dc:description/>
  <cp:keywords> [BH Telecom | Povjerljivo]</cp:keywords>
  <dc:language>en-GB</dc:language>
  <cp:lastModifiedBy/>
  <cp:lastPrinted>2022-06-17T07:37:00Z</cp:lastPrinted>
  <dcterms:modified xsi:type="dcterms:W3CDTF">2026-08-12T12:25:17Z</dcterms:modified>
  <cp:revision>13</cp:revision>
  <dc:subject/>
  <dc:title>UPRAVA DRUŠTVA/SJEDNICA 9 (TAČKA 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uid="id_classification_confidential" value="" /&gt;&lt;/sisl&gt;</vt:lpwstr>
  </property>
  <property fmtid="{D5CDD505-2E9C-101B-9397-08002B2CF9AE}" pid="5" name="bjDocumentSecurityLabel">
    <vt:lpwstr>Povjerljivo</vt:lpwstr>
  </property>
  <property fmtid="{D5CDD505-2E9C-101B-9397-08002B2CF9AE}" pid="6" name="bjLabelHistoryID">
    <vt:lpwstr>{9E77B611-9807-45A5-91D5-7DA1B15614F8}</vt:lpwstr>
  </property>
  <property fmtid="{D5CDD505-2E9C-101B-9397-08002B2CF9AE}" pid="7" name="bjSaver">
    <vt:lpwstr>UNCwq1Wg8E+4VIu2yOL7a17Ix0BTSZtQ</vt:lpwstr>
  </property>
  <property fmtid="{D5CDD505-2E9C-101B-9397-08002B2CF9AE}" pid="8" name="docIndexRef">
    <vt:lpwstr>5734499a-1fe4-48ae-9cd0-2e168a92dc25</vt:lpwstr>
  </property>
</Properties>
</file>