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55.png" ContentType="image/png"/>
  <Override PartName="/word/media/rId52.png" ContentType="image/png"/>
  <Override PartName="/word/media/rId38.png" ContentType="image/png"/>
  <Override PartName="/word/media/rId58.png" ContentType="image/png"/>
  <Override PartName="/word/media/rId34.png" ContentType="image/png"/>
  <Override PartName="/word/media/rId27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prilog-i-td-specifikacija-zahtjeva"/>
    <w:p>
      <w:pPr>
        <w:pStyle w:val="Heading1"/>
      </w:pPr>
      <w:r>
        <w:t xml:space="preserve">PRILOG I TD — SPECIFIKACIJA ZAHTJEVA</w:t>
      </w:r>
    </w:p>
    <w:p>
      <w:pPr>
        <w:pStyle w:val="FirstParagraph"/>
      </w:pPr>
      <w:r>
        <w:rPr>
          <w:b/>
          <w:bCs/>
        </w:rPr>
        <w:t xml:space="preserve">Autonomni hibridni sistem napajanja — SJEDNICA (Bileća) i HAMZIĆI (Čitluk)</w:t>
      </w:r>
      <w:r>
        <w:t xml:space="preserve"> </w:t>
      </w:r>
      <w:r>
        <w:t xml:space="preserve">LOT 1: nosači fotonaponskih panela · LOT 2: dizel električni agregat u kontejneru —</w:t>
      </w:r>
      <w:r>
        <w:t xml:space="preserve"> </w:t>
      </w:r>
      <w:r>
        <w:rPr>
          <w:b/>
          <w:bCs/>
        </w:rPr>
        <w:t xml:space="preserve">svaki LOT obuhvata obje lokacije</w:t>
      </w:r>
    </w:p>
    <w:p>
      <w:pPr>
        <w:pStyle w:val="BodyText"/>
      </w:pPr>
      <w:r>
        <w:rPr>
          <w:b/>
          <w:bCs/>
        </w:rPr>
        <w:t xml:space="preserve">Verzija:</w:t>
      </w:r>
      <w:r>
        <w:t xml:space="preserve"> </w:t>
      </w:r>
      <w:r>
        <w:t xml:space="preserve">Rev 1 zajedničke TD, 11.09.2026. (za lokaciju Sjednica nastavak Rev 9)</w:t>
      </w:r>
    </w:p>
    <w:p>
      <w:pPr>
        <w:pStyle w:val="BodyText"/>
      </w:pPr>
      <w:r>
        <w:t xml:space="preserve">Ovaj Prilog utvrđuje tehničke zahtjeve i dokaze koje Ponuđač dostavlja</w:t>
      </w:r>
      <w:r>
        <w:t xml:space="preserve"> </w:t>
      </w:r>
      <w:r>
        <w:rPr>
          <w:b/>
          <w:bCs/>
        </w:rPr>
        <w:t xml:space="preserve">UZ PONUDU</w:t>
      </w:r>
      <w:r>
        <w:t xml:space="preserve"> </w:t>
      </w:r>
      <w:r>
        <w:t xml:space="preserve">kao uslov kvalifikacije — ponuda koja ih ne sadrži smatra se neprihvatljivom.</w:t>
      </w:r>
    </w:p>
    <w:p>
      <w:pPr>
        <w:pStyle w:val="BodyText"/>
      </w:pPr>
      <w:r>
        <w:t xml:space="preserve">Na obje lokacije se ugrađuje</w:t>
      </w:r>
      <w:r>
        <w:t xml:space="preserve"> </w:t>
      </w:r>
      <w:r>
        <w:rPr>
          <w:b/>
          <w:bCs/>
        </w:rPr>
        <w:t xml:space="preserve">isti sistem</w:t>
      </w:r>
      <w:r>
        <w:t xml:space="preserve">: 12 fotonaponskih modula na 3 nosača, isti</w:t>
      </w:r>
      <w:r>
        <w:t xml:space="preserve"> </w:t>
      </w:r>
      <w:r>
        <w:t xml:space="preserve">agregat sa spremnikom goriva u postojećem kontejneru i isto upravljanje. Zahtjevi koji</w:t>
      </w:r>
      <w:r>
        <w:t xml:space="preserve"> </w:t>
      </w:r>
      <w:r>
        <w:t xml:space="preserve">se razlikuju po lokaciji dati su u zasebnim tačkama ili kolonama, sa oznakom lokacije.</w:t>
      </w:r>
    </w:p>
    <w:p>
      <w:pPr>
        <w:pStyle w:val="BodyText"/>
      </w:pPr>
      <w:r>
        <w:t xml:space="preserve">U slučaju neslaganja između dokumenata TD mjerodavni su redom: (1) Tenderska</w:t>
      </w:r>
      <w:r>
        <w:t xml:space="preserve"> </w:t>
      </w:r>
      <w:r>
        <w:t xml:space="preserve">dokumentacija (TD), (2) Prilog I, (3) Prilog II (Predmjer), (4) Prilog III (grafički</w:t>
      </w:r>
      <w:r>
        <w:t xml:space="preserve"> </w:t>
      </w:r>
      <w:r>
        <w:t xml:space="preserve">prilozi).</w:t>
      </w:r>
    </w:p>
    <w:p>
      <w:pPr>
        <w:pStyle w:val="BodyText"/>
      </w:pPr>
      <w:r>
        <w:t xml:space="preserve">Prilog III sadrži i preuzete stranice ovjerenih projekata lokacija, koje služe samo kao</w:t>
      </w:r>
      <w:r>
        <w:t xml:space="preserve"> </w:t>
      </w:r>
      <w:r>
        <w:t xml:space="preserve">podloga;</w:t>
      </w:r>
      <w:r>
        <w:t xml:space="preserve"> </w:t>
      </w:r>
      <w:r>
        <w:rPr>
          <w:b/>
          <w:bCs/>
        </w:rPr>
        <w:t xml:space="preserve">mjerodavan raspored opreme i otvora u kontejneru je onaj sa crteža M-01</w:t>
      </w:r>
      <w:r>
        <w:rPr>
          <w:b/>
          <w:bCs/>
        </w:rPr>
        <w:t xml:space="preserve"> </w:t>
      </w:r>
      <w:r>
        <w:rPr>
          <w:b/>
          <w:bCs/>
        </w:rPr>
        <w:t xml:space="preserve">(Sjednica) i H-04 (Hamzići).</w:t>
      </w:r>
    </w:p>
    <w:p>
      <w:r>
        <w:pict>
          <v:rect style="width:0;height:1.5pt" o:hralign="center" o:hrstd="t" o:hr="t"/>
        </w:pict>
      </w:r>
    </w:p>
    <w:bookmarkStart w:id="10" w:name="osnovni-parametri-lokaliteta"/>
    <w:p>
      <w:pPr>
        <w:pStyle w:val="Heading2"/>
      </w:pPr>
      <w:r>
        <w:t xml:space="preserve">1. Osnovni parametri lokaliteta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Lokacija</w:t>
            </w:r>
          </w:p>
        </w:tc>
        <w:tc>
          <w:tcPr/>
          <w:p>
            <w:pPr>
              <w:pStyle w:val="Compact"/>
            </w:pPr>
            <w:r>
              <w:t xml:space="preserve">Sjednica, Bileća, BiH</w:t>
            </w:r>
          </w:p>
        </w:tc>
        <w:tc>
          <w:tcPr/>
          <w:p>
            <w:pPr>
              <w:pStyle w:val="Compact"/>
            </w:pPr>
            <w:r>
              <w:t xml:space="preserve">Hamzići, Čitluk, BiH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Koordinate</w:t>
            </w:r>
          </w:p>
        </w:tc>
        <w:tc>
          <w:tcPr/>
          <w:p>
            <w:pPr>
              <w:pStyle w:val="Compact"/>
            </w:pPr>
            <w:r>
              <w:t xml:space="preserve">42,9448° N · 18,3236° E</w:t>
            </w:r>
          </w:p>
        </w:tc>
        <w:tc>
          <w:tcPr/>
          <w:p>
            <w:pPr>
              <w:pStyle w:val="Compact"/>
            </w:pPr>
            <w:r>
              <w:t xml:space="preserve">43,2880° N · 17,6248° 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Nadmorska visina</w:t>
            </w:r>
          </w:p>
        </w:tc>
        <w:tc>
          <w:tcPr/>
          <w:p>
            <w:pPr>
              <w:pStyle w:val="Compact"/>
            </w:pPr>
            <w:r>
              <w:t xml:space="preserve">1076 m n.v.</w:t>
            </w:r>
          </w:p>
        </w:tc>
        <w:tc>
          <w:tcPr/>
          <w:p>
            <w:pPr>
              <w:pStyle w:val="Compact"/>
            </w:pPr>
            <w:r>
              <w:t xml:space="preserve">493 m n.v.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Priključak EES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</w:t>
            </w:r>
            <w:r>
              <w:t xml:space="preserve"> </w:t>
            </w:r>
            <w:r>
              <w:t xml:space="preserve">(projektovan 2017., nije izveden)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Bilans potrošnje</w:t>
            </w:r>
          </w:p>
        </w:tc>
        <w:tc>
          <w:tcPr/>
          <w:p>
            <w:pPr>
              <w:pStyle w:val="Compact"/>
            </w:pPr>
            <w:r>
              <w:t xml:space="preserve">konstantno, 1180 W nazivno / 1330 W maksimalno, −48 V DC</w:t>
            </w:r>
          </w:p>
        </w:tc>
        <w:tc>
          <w:tcPr/>
          <w:p>
            <w:pPr>
              <w:pStyle w:val="Compact"/>
            </w:pPr>
            <w:r>
              <w:t xml:space="preserve">isto kao Sjednica — privremeno, do izmjerene potrošnje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Zakupljeni prostor</w:t>
            </w:r>
          </w:p>
        </w:tc>
        <w:tc>
          <w:tcPr/>
          <w:p>
            <w:pPr>
              <w:pStyle w:val="Compact"/>
            </w:pPr>
            <w:r>
              <w:t xml:space="preserve">≈150 m² (16,00 × 9,40 m)</w:t>
            </w:r>
          </w:p>
        </w:tc>
        <w:tc>
          <w:tcPr/>
          <w:p>
            <w:pPr>
              <w:pStyle w:val="Compact"/>
            </w:pPr>
            <w:r>
              <w:t xml:space="preserve">150 m² (12,00 × 12,50 m), k.č. 109/1 K.O.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Postojeći objekat</w:t>
            </w:r>
          </w:p>
        </w:tc>
        <w:tc>
          <w:tcPr/>
          <w:p>
            <w:pPr>
              <w:pStyle w:val="Compact"/>
            </w:pPr>
            <w:r>
              <w:t xml:space="preserve">AB ploča 5,40 × 5,40 m, ograda h = 2,10 m, kapija 1,00 m</w:t>
            </w:r>
          </w:p>
        </w:tc>
        <w:tc>
          <w:tcPr/>
          <w:p>
            <w:pPr>
              <w:pStyle w:val="Compact"/>
            </w:pPr>
            <w:r>
              <w:t xml:space="preserve">AB ploča 5,40 × 5,40 m, ograda h = 1,80 m, kapija 1,30 m na SJEVERU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Antenski stub</w:t>
            </w:r>
          </w:p>
        </w:tc>
        <w:tc>
          <w:tcPr/>
          <w:p>
            <w:pPr>
              <w:pStyle w:val="Compact"/>
            </w:pPr>
            <w:r>
              <w:t xml:space="preserve">rešetkasti, h = 38 m, baza 4,20 × 4,20 m</w:t>
            </w:r>
          </w:p>
        </w:tc>
        <w:tc>
          <w:tcPr/>
          <w:p>
            <w:pPr>
              <w:pStyle w:val="Compact"/>
            </w:pPr>
            <w:r>
              <w:t xml:space="preserve">rešetkasti, h = 32 m, baza 3,70 × 3,70 m; platforma na +3,0 m iznad krova kontejnera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Kontejner</w:t>
            </w:r>
          </w:p>
        </w:tc>
        <w:tc>
          <w:tcPr/>
          <w:p>
            <w:pPr>
              <w:pStyle w:val="Compact"/>
            </w:pPr>
            <w:r>
              <w:t xml:space="preserve">3,00 × 2,30 m vanjski, zidni paneli 60 mm, bez opreme; ulazna vrata 900 × 2000 mm na ISTOČNOM zidu</w:t>
            </w:r>
          </w:p>
        </w:tc>
        <w:tc>
          <w:tcPr/>
          <w:p>
            <w:pPr>
              <w:pStyle w:val="Compact"/>
            </w:pPr>
            <w:r>
              <w:t xml:space="preserve">K2 3,00 × 2,30 m vanjski, zidni paneli 60 mm,</w:t>
            </w:r>
            <w:r>
              <w:t xml:space="preserve"> </w:t>
            </w:r>
            <w:r>
              <w:rPr>
                <w:b/>
                <w:bCs/>
              </w:rPr>
              <w:t xml:space="preserve">prazan, bez GRO i instalacija</w:t>
            </w:r>
            <w:r>
              <w:t xml:space="preserve">; ulazna vrata 1,00 × 2,15 m na SJEVERNOM zidu; na JUŽNOM zidu, u sredini, klima-uređaj Stulz WDE80 koji se demontira (Tačka 4.8)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Nosivost poda kontejnera</w:t>
            </w:r>
          </w:p>
        </w:tc>
        <w:tc>
          <w:tcPr/>
          <w:p>
            <w:pPr>
              <w:pStyle w:val="Compact"/>
            </w:pPr>
            <w:r>
              <w:t xml:space="preserve">10,00 kN/m² ukupno (g+p), ravnomjerno raspodijeljeno — ovjereni projekat lokacije, „04 AG dio”, tačka 4.4.2.3</w:t>
            </w:r>
          </w:p>
        </w:tc>
        <w:tc>
          <w:tcPr/>
          <w:p>
            <w:pPr>
              <w:pStyle w:val="Compact"/>
            </w:pPr>
            <w:r>
              <w:t xml:space="preserve">10,00 kN/m² ukupno (g+p) — ovjereni projekat lokacije, AG dio, tačka 4.4.2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 napajanja</w:t>
            </w:r>
          </w:p>
        </w:tc>
        <w:tc>
          <w:tcPr/>
          <w:p>
            <w:pPr>
              <w:pStyle w:val="Compact"/>
            </w:pPr>
            <w:r>
              <w:t xml:space="preserve">Huawei ICC360-HA1-C1 (PowerCube 1000) i MTS9302A, vanjski ormari smješteni uz SJEVERNI zid kontejnera</w:t>
            </w:r>
          </w:p>
        </w:tc>
        <w:tc>
          <w:tcPr/>
          <w:p>
            <w:pPr>
              <w:pStyle w:val="Compact"/>
            </w:pPr>
            <w:r>
              <w:t xml:space="preserve">Huawei ICC360-HA1-C1 (PowerCube 1000) — zasebna nabavka Naručioca, kao na Sjednici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Uzemljenje</w:t>
            </w:r>
          </w:p>
        </w:tc>
        <w:tc>
          <w:tcPr/>
          <w:p>
            <w:pPr>
              <w:pStyle w:val="Compact"/>
            </w:pPr>
            <w:r>
              <w:t xml:space="preserve">postojeći prstenasti uzemljivač Fe/Zn 25 × 4 mm</w:t>
            </w:r>
          </w:p>
        </w:tc>
        <w:tc>
          <w:tcPr/>
          <w:p>
            <w:pPr>
              <w:pStyle w:val="Compact"/>
            </w:pPr>
            <w:r>
              <w:t xml:space="preserve">postojeći uzemljivač Fe/Zn 25 × 4 mm: prsten u temeljima stopa stuba i prsten na dubini 0,8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Orijentacija</w:t>
            </w:r>
          </w:p>
        </w:tc>
        <w:tc>
          <w:tcPr/>
          <w:p>
            <w:pPr>
              <w:pStyle w:val="Compact"/>
            </w:pPr>
            <w:r>
              <w:t xml:space="preserve">prema Prilogu III (S-01)</w:t>
            </w:r>
          </w:p>
        </w:tc>
        <w:tc>
          <w:tcPr/>
          <w:p>
            <w:pPr>
              <w:pStyle w:val="Compact"/>
            </w:pPr>
            <w:r>
              <w:t xml:space="preserve">vrata i kapija na sjeveru, malo prema sjeverozapadu (fotografije lokacije); ovjereni crtež iz 2017. je zakrenut ≈180° i orijentacija se potvrđuje obilaskom</w:t>
            </w:r>
          </w:p>
        </w:tc>
      </w:tr>
    </w:tbl>
    <w:bookmarkStart w:id="9" w:name="klimatski-i-geotehnički-uslovi"/>
    <w:p>
      <w:pPr>
        <w:pStyle w:val="Heading3"/>
      </w:pPr>
      <w:r>
        <w:t xml:space="preserve">1.1 Klimatski i geotehnički uslovi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409"/>
        <w:gridCol w:w="2409"/>
        <w:gridCol w:w="2409"/>
        <w:gridCol w:w="241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Uticaj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  <w:tc>
          <w:tcPr/>
          <w:p>
            <w:pPr>
              <w:pStyle w:val="Compact"/>
            </w:pPr>
            <w:r>
              <w:t xml:space="preserve">Napomena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Vjetar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qp ≥ 1,20 kN/m²</w:t>
            </w:r>
            <w:r>
              <w:t xml:space="preserve"> </w:t>
            </w:r>
            <w:r>
              <w:t xml:space="preserve">(udar 3 s ≈ 45 m/s)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qp ≥ 1,20 kN/m²</w:t>
            </w:r>
            <w:r>
              <w:t xml:space="preserve"> </w:t>
            </w:r>
            <w:r>
              <w:t xml:space="preserve">(izvedeno iz ovjerenog projekta 0,69–0,96 kN/m²)</w:t>
            </w:r>
          </w:p>
        </w:tc>
        <w:tc>
          <w:tcPr/>
          <w:p>
            <w:pPr>
              <w:pStyle w:val="Compact"/>
            </w:pPr>
            <w:r>
              <w:t xml:space="preserve">BAS EN 1991-1-4 + BiH NA —</w:t>
            </w:r>
            <w:r>
              <w:t xml:space="preserve"> </w:t>
            </w:r>
            <w:r>
              <w:rPr>
                <w:b/>
                <w:bCs/>
              </w:rPr>
              <w:t xml:space="preserve">mjerodavno dejstvo</w:t>
            </w:r>
            <w:r>
              <w:t xml:space="preserve">; jedna konstrukcija za obje lokacije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Snijeg</w:t>
            </w:r>
          </w:p>
        </w:tc>
        <w:tc>
          <w:tcPr/>
          <w:p>
            <w:pPr>
              <w:pStyle w:val="Compact"/>
            </w:pPr>
            <w:r>
              <w:t xml:space="preserve">μ₁ = 0,4 pri 45°; ≈0,5 m opažene visine → ≈0,6 kN/m²</w:t>
            </w:r>
          </w:p>
        </w:tc>
        <w:tc>
          <w:tcPr/>
          <w:p>
            <w:pPr>
              <w:pStyle w:val="Compact"/>
            </w:pPr>
            <w:r>
              <w:t xml:space="preserve">sk = 2,10 kN/m² (projekat) → ≈0,84 kN/m² na ravni panela</w:t>
            </w:r>
          </w:p>
        </w:tc>
        <w:tc>
          <w:tcPr/>
          <w:p>
            <w:pPr>
              <w:pStyle w:val="Compact"/>
            </w:pPr>
            <w:r>
              <w:t xml:space="preserve">prema BAS EN 1991-1-3 + BiH NA; provjera obavezna, nije mjerodavna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Led</w:t>
            </w:r>
          </w:p>
        </w:tc>
        <w:tc>
          <w:tcPr/>
          <w:p>
            <w:pPr>
              <w:pStyle w:val="Compact"/>
            </w:pPr>
            <w:r>
              <w:t xml:space="preserve">radijalni 20 mm, gustina 300 kg/m³</w:t>
            </w:r>
          </w:p>
        </w:tc>
        <w:tc>
          <w:tcPr/>
          <w:p>
            <w:pPr>
              <w:pStyle w:val="Compact"/>
            </w:pPr>
            <w:r>
              <w:t xml:space="preserve">radijalni 20 mm, gustina 500 kg/m³ (projekat stuba)</w:t>
            </w:r>
          </w:p>
        </w:tc>
        <w:tc>
          <w:tcPr/>
          <w:p>
            <w:pPr>
              <w:pStyle w:val="Compact"/>
            </w:pPr>
            <w:r>
              <w:t xml:space="preserve">mjerodavan kao akrecija na profile i spojeve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Temperatura</w:t>
            </w:r>
          </w:p>
        </w:tc>
        <w:tc>
          <w:tcPr/>
          <w:p>
            <w:pPr>
              <w:pStyle w:val="Compact"/>
            </w:pPr>
            <w:r>
              <w:t xml:space="preserve">−25 °C do +50 °C</w:t>
            </w:r>
          </w:p>
        </w:tc>
        <w:tc>
          <w:tcPr/>
          <w:p>
            <w:pPr>
              <w:pStyle w:val="Compact"/>
            </w:pPr>
            <w:r>
              <w:t xml:space="preserve">−25 °C do +50 °C; projektni ambijent +40 °C</w:t>
            </w:r>
          </w:p>
        </w:tc>
        <w:tc>
          <w:tcPr/>
          <w:p>
            <w:pPr>
              <w:pStyle w:val="Compact"/>
            </w:pPr>
            <w:r>
              <w:t xml:space="preserve">radni opseg opreme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Gustina zraka</w:t>
            </w:r>
          </w:p>
        </w:tc>
        <w:tc>
          <w:tcPr/>
          <w:p>
            <w:pPr>
              <w:pStyle w:val="Compact"/>
            </w:pPr>
            <w:r>
              <w:t xml:space="preserve">1,04–1,09 kg/m³</w:t>
            </w:r>
          </w:p>
        </w:tc>
        <w:tc>
          <w:tcPr/>
          <w:p>
            <w:pPr>
              <w:pStyle w:val="Compact"/>
            </w:pPr>
            <w:r>
              <w:t xml:space="preserve">1,06–1,12 kg/m³</w:t>
            </w:r>
          </w:p>
        </w:tc>
        <w:tc>
          <w:tcPr/>
          <w:p>
            <w:pPr>
              <w:pStyle w:val="Compact"/>
            </w:pPr>
            <w:r>
              <w:t xml:space="preserve">derating agregata i dimenzionisanje ventilacije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Tlo</w:t>
            </w:r>
          </w:p>
        </w:tc>
        <w:tc>
          <w:tcPr/>
          <w:p>
            <w:pPr>
              <w:pStyle w:val="Compact"/>
            </w:pPr>
            <w:r>
              <w:t xml:space="preserve">kamenito (krš); nosivost ≥100 kPa</w:t>
            </w:r>
          </w:p>
        </w:tc>
        <w:tc>
          <w:tcPr/>
          <w:p>
            <w:pPr>
              <w:pStyle w:val="Compact"/>
            </w:pPr>
            <w:r>
              <w:t xml:space="preserve">krš; σdop = 150 kPa, bez podzemne vode (projekat)</w:t>
            </w:r>
          </w:p>
        </w:tc>
        <w:tc>
          <w:tcPr/>
          <w:p>
            <w:pPr>
              <w:pStyle w:val="Compact"/>
            </w:pPr>
            <w:r>
              <w:t xml:space="preserve">Ponuđač potvrđuje geomehaničkim uvidom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Smrzavanje</w:t>
            </w:r>
          </w:p>
        </w:tc>
        <w:tc>
          <w:tcPr/>
          <w:p>
            <w:pPr>
              <w:pStyle w:val="Compact"/>
            </w:pPr>
            <w:r>
              <w:t xml:space="preserve">temeljna spojnica ispod dubine smrzavanja</w:t>
            </w:r>
          </w:p>
        </w:tc>
        <w:tc>
          <w:tcPr/>
          <w:p>
            <w:pPr>
              <w:pStyle w:val="Compact"/>
            </w:pPr>
            <w:r>
              <w:t xml:space="preserve">isto</w:t>
            </w:r>
          </w:p>
        </w:tc>
        <w:tc>
          <w:tcPr/>
          <w:p>
            <w:pPr>
              <w:pStyle w:val="Compact"/>
            </w:pPr>
            <w:r>
              <w:t xml:space="preserve">Ponuđač navodi usvojenu dubinu u dnevniku/knjizi</w:t>
            </w:r>
          </w:p>
        </w:tc>
      </w:tr>
    </w:tbl>
    <w:bookmarkEnd w:id="9"/>
    <w:bookmarkEnd w:id="10"/>
    <w:bookmarkStart w:id="11" w:name="referentni-standardi"/>
    <w:p>
      <w:pPr>
        <w:pStyle w:val="Heading2"/>
      </w:pPr>
      <w:r>
        <w:t xml:space="preserve">2. Referentni standardi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Oblast</w:t>
            </w:r>
          </w:p>
        </w:tc>
        <w:tc>
          <w:tcPr/>
          <w:p>
            <w:pPr>
              <w:pStyle w:val="Compact"/>
            </w:pPr>
            <w:r>
              <w:t xml:space="preserve">Standardi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Osnove proračuna</w:t>
            </w:r>
          </w:p>
        </w:tc>
        <w:tc>
          <w:tcPr/>
          <w:p>
            <w:pPr>
              <w:pStyle w:val="Compact"/>
            </w:pPr>
            <w:r>
              <w:t xml:space="preserve">BAS EN 1990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Dejstva</w:t>
            </w:r>
          </w:p>
        </w:tc>
        <w:tc>
          <w:tcPr/>
          <w:p>
            <w:pPr>
              <w:pStyle w:val="Compact"/>
            </w:pPr>
            <w:r>
              <w:t xml:space="preserve">BAS EN 1991-1-3 (snijeg), BAS EN 1991-1-4 (vjetar), sa BiH 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Beton i čelik</w:t>
            </w:r>
          </w:p>
        </w:tc>
        <w:tc>
          <w:tcPr/>
          <w:p>
            <w:pPr>
              <w:pStyle w:val="Compact"/>
            </w:pPr>
            <w:r>
              <w:t xml:space="preserve">BAS EN 1992-1-1, BAS EN 1993-1-1, BAS EN 206, EN 10025-2, EN 10219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Geotehnika</w:t>
            </w:r>
          </w:p>
        </w:tc>
        <w:tc>
          <w:tcPr/>
          <w:p>
            <w:pPr>
              <w:pStyle w:val="Compact"/>
            </w:pPr>
            <w:r>
              <w:t xml:space="preserve">BAS EN 1997-1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Izrada čeličnih konstrukcija</w:t>
            </w:r>
          </w:p>
        </w:tc>
        <w:tc>
          <w:tcPr/>
          <w:p>
            <w:pPr>
              <w:pStyle w:val="Compact"/>
            </w:pPr>
            <w:r>
              <w:t xml:space="preserve">EN 1090-1, EN 1090-2 (EXC2)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Antikorozivna zaštita</w:t>
            </w:r>
          </w:p>
        </w:tc>
        <w:tc>
          <w:tcPr/>
          <w:p>
            <w:pPr>
              <w:pStyle w:val="Compact"/>
            </w:pPr>
            <w:r>
              <w:t xml:space="preserve">EN ISO 1461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Elektroinstalacije</w:t>
            </w:r>
          </w:p>
        </w:tc>
        <w:tc>
          <w:tcPr/>
          <w:p>
            <w:pPr>
              <w:pStyle w:val="Compact"/>
            </w:pPr>
            <w:r>
              <w:t xml:space="preserve">IEC 60364 (tj. 60364-4-41), BAS EN 60529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Gromobranska zaštita</w:t>
            </w:r>
          </w:p>
        </w:tc>
        <w:tc>
          <w:tcPr/>
          <w:p>
            <w:pPr>
              <w:pStyle w:val="Compact"/>
            </w:pPr>
            <w:r>
              <w:t xml:space="preserve">EN 62305-1 do 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Prenaponska zaštita</w:t>
            </w:r>
          </w:p>
        </w:tc>
        <w:tc>
          <w:tcPr/>
          <w:p>
            <w:pPr>
              <w:pStyle w:val="Compact"/>
            </w:pPr>
            <w:r>
              <w:t xml:space="preserve">EN 61643-11, EN 61643-21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Fotonaponski sistemi</w:t>
            </w:r>
          </w:p>
        </w:tc>
        <w:tc>
          <w:tcPr/>
          <w:p>
            <w:pPr>
              <w:pStyle w:val="Compact"/>
            </w:pPr>
            <w:r>
              <w:t xml:space="preserve">IEC 62548, IEC 62852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Agregati</w:t>
            </w:r>
          </w:p>
        </w:tc>
        <w:tc>
          <w:tcPr/>
          <w:p>
            <w:pPr>
              <w:pStyle w:val="Compact"/>
            </w:pPr>
            <w:r>
              <w:t xml:space="preserve">ISO 8528-1, ISO 8528-3, ISO 3046-1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Zaštita od požara</w:t>
            </w:r>
          </w:p>
        </w:tc>
        <w:tc>
          <w:tcPr/>
          <w:p>
            <w:pPr>
              <w:pStyle w:val="Compact"/>
            </w:pPr>
            <w:r>
              <w:t xml:space="preserve">važeći propisi RS / FBiH / BiH; elaborat zaštite od požara za svaku lokaciju</w:t>
            </w:r>
          </w:p>
        </w:tc>
      </w:tr>
    </w:tbl>
    <w:p>
      <w:pPr>
        <w:pStyle w:val="BodyText"/>
      </w:pPr>
      <w:r>
        <w:rPr>
          <w:b/>
          <w:bCs/>
        </w:rPr>
        <w:t xml:space="preserve">Dokumentacija proizvođača opreme:</w:t>
      </w:r>
      <w:r>
        <w:t xml:space="preserve"> </w:t>
      </w:r>
      <w:r>
        <w:t xml:space="preserve">FG Wilson P18-6 (Skid) TDS 2019-08-14; Huawei</w:t>
      </w:r>
      <w:r>
        <w:t xml:space="preserve"> </w:t>
      </w:r>
      <w:r>
        <w:t xml:space="preserve">PV Module Solution User Manual; Huawei MTS9300A Telecom Power Installation Guide;</w:t>
      </w:r>
      <w:r>
        <w:t xml:space="preserve"> </w:t>
      </w:r>
      <w:r>
        <w:t xml:space="preserve">Huawei ICC360-HA1-C1 (PowerCube 1000) Installation Guide.</w:t>
      </w:r>
    </w:p>
    <w:p>
      <w:r>
        <w:pict>
          <v:rect style="width:0;height:1.5pt" o:hralign="center" o:hrstd="t" o:hr="t"/>
        </w:pict>
      </w:r>
    </w:p>
    <w:bookmarkEnd w:id="11"/>
    <w:bookmarkStart w:id="19" w:name="Xa0dc91b7ca1638c80d87278ee8640aa2944331c"/>
    <w:p>
      <w:pPr>
        <w:pStyle w:val="Heading2"/>
      </w:pPr>
      <w:r>
        <w:t xml:space="preserve">3. LOT 1 — Infrastruktura fotonaponskih panela (obje lokacije)</w:t>
      </w:r>
    </w:p>
    <w:p>
      <w:pPr>
        <w:pStyle w:val="FirstParagraph"/>
      </w:pPr>
      <w:r>
        <w:t xml:space="preserve">Nosači, temelji i uzemljenje su</w:t>
      </w:r>
      <w:r>
        <w:t xml:space="preserve"> </w:t>
      </w:r>
      <w:r>
        <w:rPr>
          <w:b/>
          <w:bCs/>
        </w:rPr>
        <w:t xml:space="preserve">isti na obje lokacije</w:t>
      </w:r>
      <w:r>
        <w:t xml:space="preserve">. Tačke 3.1–3.6 vrijede za obje;</w:t>
      </w:r>
      <w:r>
        <w:t xml:space="preserve"> </w:t>
      </w:r>
      <w:r>
        <w:t xml:space="preserve">razlike su u Tački 3.7.</w:t>
      </w:r>
    </w:p>
    <w:bookmarkStart w:id="12" w:name="konfiguracija"/>
    <w:p>
      <w:pPr>
        <w:pStyle w:val="Heading3"/>
      </w:pPr>
      <w:r>
        <w:t xml:space="preserve">3.1 Konfiguracija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 PV nosača</w:t>
            </w:r>
          </w:p>
        </w:tc>
        <w:tc>
          <w:tcPr/>
          <w:p>
            <w:pPr>
              <w:pStyle w:val="Compact"/>
            </w:pPr>
            <w:r>
              <w:t xml:space="preserve">3 kom × 4 modula po lokaciji (ukupno 6 kom)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 PV stringova</w:t>
            </w:r>
          </w:p>
        </w:tc>
        <w:tc>
          <w:tcPr/>
          <w:p>
            <w:pPr>
              <w:pStyle w:val="Compact"/>
            </w:pPr>
            <w:r>
              <w:t xml:space="preserve">2 stringa × 6 modula (Voc ≈309 V, Imp 13,67 A) po lokaciji — po jedan string na svaku od dvije rute PVDB ormara; string se prostire preko dva nosača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 PV modula</w:t>
            </w:r>
          </w:p>
        </w:tc>
        <w:tc>
          <w:tcPr/>
          <w:p>
            <w:pPr>
              <w:pStyle w:val="Compact"/>
            </w:pPr>
            <w:r>
              <w:t xml:space="preserve">12 × 585 Wp = 7,02 kWp po lokaciji; 4 modula po nosaču, 2 reda × 2 stupca, portret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 PV modula</w:t>
            </w:r>
          </w:p>
        </w:tc>
        <w:tc>
          <w:tcPr/>
          <w:p>
            <w:pPr>
              <w:pStyle w:val="Compact"/>
            </w:pPr>
            <w:r>
              <w:t xml:space="preserve">Huawei iPV585-M2A (2278 × 1134 × 30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Nagib</w:t>
            </w:r>
          </w:p>
        </w:tc>
        <w:tc>
          <w:tcPr/>
          <w:p>
            <w:pPr>
              <w:pStyle w:val="Compact"/>
            </w:pPr>
            <w:r>
              <w:t xml:space="preserve">fiksno 45°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Azimut</w:t>
            </w:r>
          </w:p>
        </w:tc>
        <w:tc>
          <w:tcPr/>
          <w:p>
            <w:pPr>
              <w:pStyle w:val="Compact"/>
            </w:pPr>
            <w:r>
              <w:t xml:space="preserve">180° (JUG)</w:t>
            </w:r>
          </w:p>
        </w:tc>
      </w:tr>
      <w:tr>
        <w:tc>
          <w:tcPr/>
          <w:p>
            <w:pPr>
              <w:pStyle w:val="Compact"/>
            </w:pPr>
            <w:r>
              <w:t xml:space="preserve">Širina PV polja</w:t>
            </w:r>
          </w:p>
        </w:tc>
        <w:tc>
          <w:tcPr/>
          <w:p>
            <w:pPr>
              <w:pStyle w:val="Compact"/>
            </w:pPr>
            <w:r>
              <w:t xml:space="preserve">2305 mm (poprečna greda 2918 mm, bočni prepust 306,5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Dužina PV polja po nagibu</w:t>
            </w:r>
          </w:p>
        </w:tc>
        <w:tc>
          <w:tcPr/>
          <w:p>
            <w:pPr>
              <w:pStyle w:val="Compact"/>
            </w:pPr>
            <w:r>
              <w:t xml:space="preserve">4576 mm (2 × 2278 mm)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Horizontalna projekcija</w:t>
            </w:r>
          </w:p>
        </w:tc>
        <w:tc>
          <w:tcPr/>
          <w:p>
            <w:pPr>
              <w:pStyle w:val="Compact"/>
            </w:pPr>
            <w:r>
              <w:t xml:space="preserve">3236 mm pri 45°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Donja / gornja ivica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+0,50 m / +3,74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Površina izloženosti vjetru</w:t>
            </w:r>
          </w:p>
        </w:tc>
        <w:tc>
          <w:tcPr/>
          <w:p>
            <w:pPr>
              <w:pStyle w:val="Compact"/>
            </w:pPr>
            <w:r>
              <w:t xml:space="preserve">10,55 m² po nosaču</w:t>
            </w:r>
          </w:p>
        </w:tc>
      </w:tr>
    </w:tbl>
    <w:bookmarkEnd w:id="12"/>
    <w:bookmarkStart w:id="13" w:name="projektna-opterećenja-konstrukcije"/>
    <w:p>
      <w:pPr>
        <w:pStyle w:val="Heading3"/>
      </w:pPr>
      <w:r>
        <w:t xml:space="preserve">3.2 Projektna opterećenja konstrukcije</w:t>
      </w:r>
    </w:p>
    <w:p>
      <w:pPr>
        <w:pStyle w:val="FirstParagraph"/>
      </w:pPr>
      <w:r>
        <w:rPr>
          <w:b/>
          <w:bCs/>
        </w:rPr>
        <w:t xml:space="preserve">Izrada konstrukcije:</w:t>
      </w:r>
      <w:r>
        <w:t xml:space="preserve"> </w:t>
      </w:r>
      <w:r>
        <w:t xml:space="preserve">zahtijeva se</w:t>
      </w:r>
      <w:r>
        <w:t xml:space="preserve"> </w:t>
      </w:r>
      <w:r>
        <w:rPr>
          <w:b/>
          <w:bCs/>
        </w:rPr>
        <w:t xml:space="preserve">CUSTOM IZRADA</w:t>
      </w:r>
      <w:r>
        <w:t xml:space="preserve"> </w:t>
      </w:r>
      <w:r>
        <w:t xml:space="preserve">konstrukcije dimenzionisana i</w:t>
      </w:r>
      <w:r>
        <w:t xml:space="preserve"> </w:t>
      </w:r>
      <w:r>
        <w:t xml:space="preserve">dokazana za stvarna opterećenja i uticaje na lokalitetu. Nijedan kataloški nagib Huawei</w:t>
      </w:r>
      <w:r>
        <w:t xml:space="preserve"> </w:t>
      </w:r>
      <w:r>
        <w:t xml:space="preserve">nosača tipa A nije usklađen sa qp lokacija (deklarisano 0,52–0,87 kN/m² prema</w:t>
      </w:r>
      <w:r>
        <w:t xml:space="preserve"> </w:t>
      </w:r>
      <w:r>
        <w:t xml:space="preserve">zahtijevanih 1,20 kN/m²).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Pritisak vjetra</w:t>
            </w:r>
          </w:p>
        </w:tc>
        <w:tc>
          <w:tcPr/>
          <w:p>
            <w:pPr>
              <w:pStyle w:val="Compact"/>
            </w:pPr>
            <w:r>
              <w:t xml:space="preserve">qp ≥ 1,20 kN/m² na obje lokacije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Koeficijent sile</w:t>
            </w:r>
          </w:p>
        </w:tc>
        <w:tc>
          <w:tcPr/>
          <w:p>
            <w:pPr>
              <w:pStyle w:val="Compact"/>
            </w:pPr>
            <w:r>
              <w:t xml:space="preserve">cf ≥ 1,5 pri 45° prema EN 1991-1-4 §7.3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Površina izloženosti vjetru</w:t>
            </w:r>
          </w:p>
        </w:tc>
        <w:tc>
          <w:tcPr/>
          <w:p>
            <w:pPr>
              <w:pStyle w:val="Compact"/>
            </w:pPr>
            <w:r>
              <w:t xml:space="preserve">10,55 m² po nosaču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Sila podizanja po nosaču</w:t>
            </w:r>
          </w:p>
        </w:tc>
        <w:tc>
          <w:tcPr/>
          <w:p>
            <w:pPr>
              <w:pStyle w:val="Compact"/>
            </w:pPr>
            <w:r>
              <w:t xml:space="preserve">≥18,1 kN (GSN, γQ = 1,5 / γG,fav = 0,9)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Horizontalna sila po nosaču</w:t>
            </w:r>
          </w:p>
        </w:tc>
        <w:tc>
          <w:tcPr/>
          <w:p>
            <w:pPr>
              <w:pStyle w:val="Compact"/>
            </w:pPr>
            <w:r>
              <w:t xml:space="preserve">≥13,4 kN (GSN)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Moment prevrtanja po nosaču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≥42,6 kNm (GSN)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Spreg po temeljnoj traci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≥26,6 kN</w:t>
            </w:r>
            <w:r>
              <w:t xml:space="preserve"> </w:t>
            </w:r>
            <w:r>
              <w:t xml:space="preserve">pri razmaku traka 1600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Mjerodavno</w:t>
            </w:r>
          </w:p>
        </w:tc>
        <w:tc>
          <w:tcPr/>
          <w:p>
            <w:pPr>
              <w:pStyle w:val="Compact"/>
            </w:pPr>
            <w:r>
              <w:t xml:space="preserve">podizanje (uplift) i prevrtanje, a NE nosivost tla</w:t>
            </w:r>
          </w:p>
        </w:tc>
      </w:tr>
    </w:tbl>
    <w:bookmarkEnd w:id="13"/>
    <w:bookmarkStart w:id="14" w:name="materijal-i-izrada-konstrukcije"/>
    <w:p>
      <w:pPr>
        <w:pStyle w:val="Heading3"/>
      </w:pPr>
      <w:r>
        <w:t xml:space="preserve">3.3 Materijal i izrada konstrukcije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Konstrukcijski čelik</w:t>
            </w:r>
          </w:p>
        </w:tc>
        <w:tc>
          <w:tcPr/>
          <w:p>
            <w:pPr>
              <w:pStyle w:val="Compact"/>
            </w:pPr>
            <w:r>
              <w:t xml:space="preserve">S275JR (S355JR za stubove) prema EN 10025-2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Profili</w:t>
            </w:r>
          </w:p>
        </w:tc>
        <w:tc>
          <w:tcPr/>
          <w:p>
            <w:pPr>
              <w:pStyle w:val="Compact"/>
            </w:pPr>
            <w:r>
              <w:t xml:space="preserve">šuplji profili prema EN 10219; stubovi min. RHS 80 × 80 × 4, rigle min. RHS 60 × 40 × 3, ili presjek sa dokazano najmanje jednakim otpornim momentom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Antikorozivna zaštita</w:t>
            </w:r>
          </w:p>
        </w:tc>
        <w:tc>
          <w:tcPr/>
          <w:p>
            <w:pPr>
              <w:pStyle w:val="Compact"/>
            </w:pPr>
            <w:r>
              <w:t xml:space="preserve">vruće cinčanje prema EN ISO 1461, min. 70 µm lokalno / 85 µm srednje (C4)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Zavarivanje</w:t>
            </w:r>
          </w:p>
        </w:tc>
        <w:tc>
          <w:tcPr/>
          <w:p>
            <w:pPr>
              <w:pStyle w:val="Compact"/>
            </w:pPr>
            <w:r>
              <w:t xml:space="preserve">EN 1090-2, klasa izvedbe EXC2; zavarivači prema EN ISO 9606-1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Označavanje</w:t>
            </w:r>
          </w:p>
        </w:tc>
        <w:tc>
          <w:tcPr/>
          <w:p>
            <w:pPr>
              <w:pStyle w:val="Compact"/>
            </w:pPr>
            <w:r>
              <w:t xml:space="preserve">CE i izjava o svojstvima prema EN 1090-1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Konstrukcijski vijci</w:t>
            </w:r>
          </w:p>
        </w:tc>
        <w:tc>
          <w:tcPr/>
          <w:p>
            <w:pPr>
              <w:pStyle w:val="Compact"/>
            </w:pPr>
            <w:r>
              <w:t xml:space="preserve">M16 klase 8.8, cinčani, prema EN 15048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Pričvršćenje modula</w:t>
            </w:r>
          </w:p>
        </w:tc>
        <w:tc>
          <w:tcPr/>
          <w:p>
            <w:pPr>
              <w:pStyle w:val="Compact"/>
            </w:pPr>
            <w:r>
              <w:t xml:space="preserve">nehrđajući A2/A4; stezaljke za debljinu modula 30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Zaštita od krađe</w:t>
            </w:r>
          </w:p>
        </w:tc>
        <w:tc>
          <w:tcPr/>
          <w:p>
            <w:pPr>
              <w:pStyle w:val="Compact"/>
            </w:pPr>
            <w:r>
              <w:t xml:space="preserve">antitheft matice na stezaljkama modula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Moment pritezanja</w:t>
            </w:r>
          </w:p>
        </w:tc>
        <w:tc>
          <w:tcPr/>
          <w:p>
            <w:pPr>
              <w:pStyle w:val="Compact"/>
            </w:pPr>
            <w:r>
              <w:t xml:space="preserve">prema uputstvu proizvođača (45 N·m za Huawei)</w:t>
            </w:r>
          </w:p>
        </w:tc>
      </w:tr>
    </w:tbl>
    <w:bookmarkEnd w:id="14"/>
    <w:bookmarkStart w:id="15" w:name="sidrenje"/>
    <w:p>
      <w:pPr>
        <w:pStyle w:val="Heading3"/>
      </w:pPr>
      <w:r>
        <w:t xml:space="preserve">3.4 Sidrenje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Tip</w:t>
            </w:r>
          </w:p>
        </w:tc>
        <w:tc>
          <w:tcPr/>
          <w:p>
            <w:pPr>
              <w:pStyle w:val="Compact"/>
            </w:pPr>
            <w:r>
              <w:t xml:space="preserve">hemijski (epoksidni/vinilesterski) anker M16 ili M20, sa ETA odobrenjem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Materijal</w:t>
            </w:r>
          </w:p>
        </w:tc>
        <w:tc>
          <w:tcPr/>
          <w:p>
            <w:pPr>
              <w:pStyle w:val="Compact"/>
            </w:pPr>
            <w:r>
              <w:t xml:space="preserve">vruće cinčan ili nehrđajući 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Broj</w:t>
            </w:r>
          </w:p>
        </w:tc>
        <w:tc>
          <w:tcPr/>
          <w:p>
            <w:pPr>
              <w:pStyle w:val="Compact"/>
            </w:pPr>
            <w:r>
              <w:t xml:space="preserve">min. 2 ankera po temeljnoj traci, odnosno 4 po nosaču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Nosivost</w:t>
            </w:r>
          </w:p>
        </w:tc>
        <w:tc>
          <w:tcPr/>
          <w:p>
            <w:pPr>
              <w:pStyle w:val="Compact"/>
            </w:pPr>
            <w:r>
              <w:t xml:space="preserve">karakteristična sila čupanja ≥30 kN po ankeru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Dubina ugradnje</w:t>
            </w:r>
          </w:p>
        </w:tc>
        <w:tc>
          <w:tcPr/>
          <w:p>
            <w:pPr>
              <w:pStyle w:val="Compact"/>
            </w:pPr>
            <w:r>
              <w:t xml:space="preserve">prema ETA za konkretnu podlogu (beton / stijena)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Projektna sila</w:t>
            </w:r>
          </w:p>
        </w:tc>
        <w:tc>
          <w:tcPr/>
          <w:p>
            <w:pPr>
              <w:pStyle w:val="Compact"/>
            </w:pPr>
            <w:r>
              <w:t xml:space="preserve">ukupno podizanje po nosaču ≥18,1 kN;</w:t>
            </w:r>
            <w:r>
              <w:t xml:space="preserve"> </w:t>
            </w:r>
            <w:r>
              <w:rPr>
                <w:b/>
                <w:bCs/>
              </w:rPr>
              <w:t xml:space="preserve">sila po traci od momenta prevrtanja ≥26,6 kN</w:t>
            </w:r>
            <w:r>
              <w:t xml:space="preserve"> </w:t>
            </w:r>
            <w:r>
              <w:t xml:space="preserve">pri razmaku traka 1600 mm — ovo je mjerodavno opterećenje sidrenja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Dokazivanje</w:t>
            </w:r>
          </w:p>
        </w:tc>
        <w:tc>
          <w:tcPr/>
          <w:p>
            <w:pPr>
              <w:pStyle w:val="Compact"/>
            </w:pPr>
            <w:r>
              <w:t xml:space="preserve">ispitivanje čupanjem (pull-out) na ≥10 % ugrađenih ankera, min. 2 po nosaču, do 1,5 × projektne sile, uz zapisnik ovjeren od nadzornog organa</w:t>
            </w:r>
          </w:p>
        </w:tc>
      </w:tr>
    </w:tbl>
    <w:bookmarkEnd w:id="15"/>
    <w:bookmarkStart w:id="16" w:name="temelji-nosača"/>
    <w:p>
      <w:pPr>
        <w:pStyle w:val="Heading3"/>
      </w:pPr>
      <w:r>
        <w:t xml:space="preserve">3.5 Temelji nosača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Beton</w:t>
            </w:r>
          </w:p>
        </w:tc>
        <w:tc>
          <w:tcPr/>
          <w:p>
            <w:pPr>
              <w:pStyle w:val="Compact"/>
            </w:pPr>
            <w:r>
              <w:t xml:space="preserve">C30/37, klasa izloženosti XC4 + XF3, aerant 4–6 %, Dmax 16, S3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Podložni beton</w:t>
            </w:r>
          </w:p>
        </w:tc>
        <w:tc>
          <w:tcPr/>
          <w:p>
            <w:pPr>
              <w:pStyle w:val="Compact"/>
            </w:pPr>
            <w:r>
              <w:t xml:space="preserve">C12/15, d = 50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Armatura</w:t>
            </w:r>
          </w:p>
        </w:tc>
        <w:tc>
          <w:tcPr/>
          <w:p>
            <w:pPr>
              <w:pStyle w:val="Compact"/>
            </w:pPr>
            <w:r>
              <w:t xml:space="preserve">B500B, zaštitni sloj ≥50 mm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Geometrija</w:t>
            </w:r>
          </w:p>
        </w:tc>
        <w:tc>
          <w:tcPr/>
          <w:p>
            <w:pPr>
              <w:pStyle w:val="Compact"/>
            </w:pPr>
            <w:r>
              <w:t xml:space="preserve">2 trake po nosaču (×3 nosača =</w:t>
            </w:r>
            <w:r>
              <w:t xml:space="preserve"> </w:t>
            </w:r>
            <w:r>
              <w:rPr>
                <w:b/>
                <w:bCs/>
              </w:rPr>
              <w:t xml:space="preserve">6 traka po lokaciji</w:t>
            </w:r>
            <w:r>
              <w:t xml:space="preserve">), 450 mm (gore) / 550 mm (dolje) × 3300 mm,</w:t>
            </w:r>
            <w:r>
              <w:t xml:space="preserve"> </w:t>
            </w:r>
            <w:r>
              <w:rPr>
                <w:b/>
                <w:bCs/>
              </w:rPr>
              <w:t xml:space="preserve">pune dubine 900 mm</w:t>
            </w:r>
            <w:r>
              <w:t xml:space="preserve">, razmak 1600 mm, pravac SJEVER–JUG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Zapremina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1,485 m³ po traci → 8,91 m³ po lokaciji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Smještaj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IZVAN ograđenog platoa</w:t>
            </w:r>
            <w:r>
              <w:t xml:space="preserve">, južno od ograde (Tačka 3.7)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Dubina smrzavanja</w:t>
            </w:r>
          </w:p>
        </w:tc>
        <w:tc>
          <w:tcPr/>
          <w:p>
            <w:pPr>
              <w:pStyle w:val="Compact"/>
            </w:pPr>
            <w:r>
              <w:t xml:space="preserve">temeljna spojnica ispod dubine smrzavanja; Ponuđač navodi vrijednost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Traka se betonira punom dubinom rova.</w:t>
      </w:r>
      <w:r>
        <w:t xml:space="preserve"> </w:t>
      </w:r>
      <w:r>
        <w:t xml:space="preserve">Vlastita težina trake je dio dokaza</w:t>
      </w:r>
      <w:r>
        <w:t xml:space="preserve"> </w:t>
      </w:r>
      <w:r>
        <w:t xml:space="preserve">sigurnosti na podizanje:</w:t>
      </w:r>
      <w:r>
        <w:t xml:space="preserve"> </w:t>
      </w:r>
      <w:r>
        <w:rPr>
          <w:rStyle w:val="VerbatimChar"/>
        </w:rPr>
        <w:t xml:space="preserve">1,485 m³ × 24 kN/m³ × 0,9 = 32,1 kN</w:t>
      </w:r>
      <w:r>
        <w:t xml:space="preserve"> </w:t>
      </w:r>
      <w:r>
        <w:t xml:space="preserve">prema traženih 29,6 kN</w:t>
      </w:r>
      <w:r>
        <w:t xml:space="preserve"> </w:t>
      </w:r>
      <w:r>
        <w:t xml:space="preserve">po traci. Traka manje zapremine tu provjeru ne zatvara vlastitom težinom.</w:t>
      </w:r>
    </w:p>
    <w:bookmarkEnd w:id="16"/>
    <w:bookmarkStart w:id="17" w:name="uzemljenje-lot-1"/>
    <w:p>
      <w:pPr>
        <w:pStyle w:val="Heading3"/>
      </w:pPr>
      <w:r>
        <w:t xml:space="preserve">3.6 Uzemljenje (LOT 1)</w:t>
      </w:r>
    </w:p>
    <w:p>
      <w:pPr>
        <w:pStyle w:val="Compact"/>
        <w:numPr>
          <w:ilvl w:val="0"/>
          <w:numId w:val="1001"/>
        </w:numPr>
      </w:pPr>
      <w:r>
        <w:t xml:space="preserve">povezivanje</w:t>
      </w:r>
      <w:r>
        <w:t xml:space="preserve"> </w:t>
      </w:r>
      <w:r>
        <w:rPr>
          <w:b/>
          <w:bCs/>
        </w:rPr>
        <w:t xml:space="preserve">sva tri nosača</w:t>
      </w:r>
      <w:r>
        <w:t xml:space="preserve"> </w:t>
      </w:r>
      <w:r>
        <w:t xml:space="preserve">na svakoj lokaciji na postojeći uzemljivač Fe/Zn 25 × 4 mm</w:t>
      </w:r>
    </w:p>
    <w:p>
      <w:pPr>
        <w:pStyle w:val="Compact"/>
        <w:numPr>
          <w:ilvl w:val="0"/>
          <w:numId w:val="1001"/>
        </w:numPr>
      </w:pPr>
      <w:r>
        <w:t xml:space="preserve">vodič: bakarno uže ≥50 mm² prema EN 62305-3, Tabela 7, otporno na UV i ukopavanje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NIJE dozvoljen</w:t>
      </w:r>
      <w:r>
        <w:t xml:space="preserve"> </w:t>
      </w:r>
      <w:r>
        <w:t xml:space="preserve">H07V-K 25 mm² (unutrašnji instalacioni vodič)</w:t>
      </w:r>
    </w:p>
    <w:p>
      <w:pPr>
        <w:pStyle w:val="Compact"/>
        <w:numPr>
          <w:ilvl w:val="0"/>
          <w:numId w:val="1001"/>
        </w:numPr>
      </w:pPr>
      <w:r>
        <w:t xml:space="preserve">bimetalni (Cu/Fe-Zn) ukrsni komadi otporni na galvansku koroziju</w:t>
      </w:r>
    </w:p>
    <w:p>
      <w:pPr>
        <w:pStyle w:val="Compact"/>
        <w:numPr>
          <w:ilvl w:val="0"/>
          <w:numId w:val="1001"/>
        </w:numPr>
      </w:pPr>
      <w:r>
        <w:t xml:space="preserve">kontinuitet spojeva ≤0,1 Ω; ukupni otpor uzemljenja ≤10 Ω</w:t>
      </w:r>
    </w:p>
    <w:p>
      <w:pPr>
        <w:pStyle w:val="Compact"/>
        <w:numPr>
          <w:ilvl w:val="0"/>
          <w:numId w:val="1001"/>
        </w:numPr>
      </w:pPr>
      <w:r>
        <w:t xml:space="preserve">DC kablovi na razmaku ≥0,5 m od odvoda gromobranske instalacije</w:t>
      </w:r>
    </w:p>
    <w:p>
      <w:pPr>
        <w:pStyle w:val="Compact"/>
        <w:numPr>
          <w:ilvl w:val="0"/>
          <w:numId w:val="1001"/>
        </w:numPr>
      </w:pPr>
      <w:r>
        <w:t xml:space="preserve">FN polja su na obje lokacije unutar zone zaštite antenskog stuba (metoda kotrljajuće</w:t>
      </w:r>
      <w:r>
        <w:t xml:space="preserve"> </w:t>
      </w:r>
      <w:r>
        <w:t xml:space="preserve">sfere, LPL I) — dodatne hvataljke nisu potrebne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Hamzići:</w:t>
      </w:r>
      <w:r>
        <w:t xml:space="preserve"> </w:t>
      </w:r>
      <w:r>
        <w:t xml:space="preserve">temeljne trake presijecaju dva postojeća prstena uzemljivača Fe/Zn 25 × 4 mm</w:t>
      </w:r>
      <w:r>
        <w:t xml:space="preserve"> </w:t>
      </w:r>
      <w:r>
        <w:t xml:space="preserve">na dubini 0,8 m (1,05 m i 2,30 m od ivice ploče, ovjereni</w:t>
      </w:r>
      <w:r>
        <w:t xml:space="preserve"> </w:t>
      </w:r>
      <w:r>
        <w:rPr>
          <w:rStyle w:val="VerbatimChar"/>
        </w:rPr>
        <w:t xml:space="preserve">3.6.9 Plan uzemljivača</w:t>
      </w:r>
      <w:r>
        <w:t xml:space="preserve">).</w:t>
      </w:r>
      <w:r>
        <w:t xml:space="preserve"> </w:t>
      </w:r>
      <w:r>
        <w:t xml:space="preserve">Ponuđač ih locira i otkopava, pa ih premješta ispod ili oko trake ili premošćuje istim</w:t>
      </w:r>
      <w:r>
        <w:t xml:space="preserve"> </w:t>
      </w:r>
      <w:r>
        <w:t xml:space="preserve">materijalom — prsten se ne prekida trajno; otpor uzemljenja mjeri prije i poslije radova</w:t>
      </w:r>
    </w:p>
    <w:bookmarkEnd w:id="17"/>
    <w:bookmarkStart w:id="18" w:name="posebno-po-lokaciji"/>
    <w:p>
      <w:pPr>
        <w:pStyle w:val="Heading3"/>
      </w:pPr>
      <w:r>
        <w:t xml:space="preserve">3.7 Posebno po lokaciji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Kota ograde</w:t>
            </w:r>
          </w:p>
        </w:tc>
        <w:tc>
          <w:tcPr/>
          <w:p>
            <w:pPr>
              <w:pStyle w:val="Compact"/>
            </w:pPr>
            <w:r>
              <w:t xml:space="preserve">h = 2,10 m (ovjereni</w:t>
            </w:r>
            <w:r>
              <w:t xml:space="preserve"> </w:t>
            </w:r>
            <w:r>
              <w:rPr>
                <w:rStyle w:val="VerbatimChar"/>
              </w:rPr>
              <w:t xml:space="preserve">04 Ograda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 = 1,80 m od ploče (ovjereni</w:t>
            </w:r>
            <w:r>
              <w:t xml:space="preserve"> </w:t>
            </w:r>
            <w:r>
              <w:rPr>
                <w:rStyle w:val="VerbatimChar"/>
              </w:rPr>
              <w:t xml:space="preserve">04_Ograda</w:t>
            </w:r>
            <w:r>
              <w:t xml:space="preserve">); teren oko ploče je na −0,20 m, pa je ograda 2,00 m iznad terena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Nadvišenje ograde</w:t>
            </w:r>
          </w:p>
        </w:tc>
        <w:tc>
          <w:tcPr/>
          <w:p>
            <w:pPr>
              <w:pStyle w:val="Compact"/>
            </w:pPr>
            <w:r>
              <w:t xml:space="preserve">1,64 m</w:t>
            </w:r>
          </w:p>
        </w:tc>
        <w:tc>
          <w:tcPr/>
          <w:p>
            <w:pPr>
              <w:pStyle w:val="Compact"/>
            </w:pPr>
            <w:r>
              <w:t xml:space="preserve">1,74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Raspoloživi prostor</w:t>
            </w:r>
          </w:p>
        </w:tc>
        <w:tc>
          <w:tcPr/>
          <w:p>
            <w:pPr>
              <w:pStyle w:val="Compact"/>
            </w:pPr>
            <w:r>
              <w:t xml:space="preserve">južno od ograde, unutar zakupljene parcele 16,00 × 9,40 m</w:t>
            </w:r>
          </w:p>
        </w:tc>
        <w:tc>
          <w:tcPr/>
          <w:p>
            <w:pPr>
              <w:pStyle w:val="Compact"/>
            </w:pPr>
            <w:r>
              <w:t xml:space="preserve">pojas južno od ploče dubine 3575 mm i širine 12,00 m, unutar zakupa 12,00 × 12,50 m — dubina polja 3236 mm i trake 3300 mm staju uz ≈0,27 m rezerve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Položaj nosača</w:t>
            </w:r>
          </w:p>
        </w:tc>
        <w:tc>
          <w:tcPr/>
          <w:p>
            <w:pPr>
              <w:pStyle w:val="Compact"/>
            </w:pPr>
            <w:r>
              <w:t xml:space="preserve">Ponuđač utvrđuje odmak od ograde tako da ravan panela nigdje ne dodiruje ogradu, a konstrukcija ostane unutar parcele</w:t>
            </w:r>
          </w:p>
        </w:tc>
        <w:tc>
          <w:tcPr/>
          <w:p>
            <w:pPr>
              <w:pStyle w:val="Compact"/>
            </w:pPr>
            <w:r>
              <w:t xml:space="preserve">nosači okrenuti na jug; ako ivica zakupa odstupa od pravca istok–zapad, nosači se postavljaju stepenasto ili paralelno sa ivicom uz odstupanje azimuta ≤15°; položaj potvrđuje Ponuđač geodetskim snimanjem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Prepreke</w:t>
            </w:r>
          </w:p>
        </w:tc>
        <w:tc>
          <w:tcPr/>
          <w:p>
            <w:pPr>
              <w:pStyle w:val="Compact"/>
            </w:pPr>
            <w:r>
              <w:t xml:space="preserve">nema</w:t>
            </w:r>
          </w:p>
        </w:tc>
        <w:tc>
          <w:tcPr/>
          <w:p>
            <w:pPr>
              <w:pStyle w:val="Compact"/>
            </w:pPr>
            <w:r>
              <w:t xml:space="preserve">listopadno stablo JJI–JI od stuba (≈7–9 m, 15–20 m, izvan zakupa) zasjenjuje polje u zimskim jutrima (≈3–10 % decembarske proizvodnje); stablo se ne uklanja — polje postaviti tako da se zasjenjenje umanji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Grafički prilozi</w:t>
            </w:r>
          </w:p>
        </w:tc>
        <w:tc>
          <w:tcPr/>
          <w:p>
            <w:pPr>
              <w:pStyle w:val="Compact"/>
            </w:pPr>
            <w:r>
              <w:t xml:space="preserve">S-01, S-02, S-03</w:t>
            </w:r>
          </w:p>
        </w:tc>
        <w:tc>
          <w:tcPr/>
          <w:p>
            <w:pPr>
              <w:pStyle w:val="Compact"/>
            </w:pPr>
            <w:r>
              <w:t xml:space="preserve">H-01, H-02, H-03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End w:id="19"/>
    <w:bookmarkStart w:id="48" w:name="Xa623a428715cd96038377c7061703278bc74d49"/>
    <w:p>
      <w:pPr>
        <w:pStyle w:val="Heading2"/>
      </w:pPr>
      <w:r>
        <w:t xml:space="preserve">4. LOT 2 — Dizel električni agregat i instalacije (obje lokacije)</w:t>
      </w:r>
    </w:p>
    <w:p>
      <w:pPr>
        <w:pStyle w:val="FirstParagraph"/>
      </w:pPr>
      <w:r>
        <w:t xml:space="preserve">Na svakoj lokaciji se u postojeći kontejner ugrađuje po jedan agregat sa spremnikom</w:t>
      </w:r>
      <w:r>
        <w:t xml:space="preserve"> </w:t>
      </w:r>
      <w:r>
        <w:t xml:space="preserve">goriva. Tačke 4.1–4.7 vrijede za obje lokacije; raspored otvora, izduv i instalacije</w:t>
      </w:r>
      <w:r>
        <w:t xml:space="preserve"> </w:t>
      </w:r>
      <w:r>
        <w:t xml:space="preserve">razlikuju se po lokaciji i dati su u Tačkama 4.3–4.5; Tačka 4.8 je samo za Hamziće.</w:t>
      </w:r>
    </w:p>
    <w:bookmarkStart w:id="26" w:name="agregat"/>
    <w:p>
      <w:pPr>
        <w:pStyle w:val="Heading3"/>
      </w:pPr>
      <w:r>
        <w:t xml:space="preserve">4.1 Agregat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Zahtjev / referentna vrijednost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Snaga</w:t>
            </w:r>
          </w:p>
        </w:tc>
        <w:tc>
          <w:tcPr/>
          <w:p>
            <w:pPr>
              <w:pStyle w:val="Compact"/>
            </w:pPr>
            <w:r>
              <w:t xml:space="preserve">18 kVA / 14,4 kW standby, 400/230 V, 50 Hz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Referentni tip</w:t>
            </w:r>
          </w:p>
        </w:tc>
        <w:tc>
          <w:tcPr/>
          <w:p>
            <w:pPr>
              <w:pStyle w:val="Compact"/>
            </w:pPr>
            <w:r>
              <w:t xml:space="preserve">FG Wilson P18-6 ili ekvivalent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Motor</w:t>
            </w:r>
          </w:p>
        </w:tc>
        <w:tc>
          <w:tcPr/>
          <w:p>
            <w:pPr>
              <w:pStyle w:val="Compact"/>
            </w:pPr>
            <w:r>
              <w:t xml:space="preserve">Perkins 404D-22G1 ili ekvivalent, 4-cilindarski, 2,2 l, 1500 o/min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Izvedba</w:t>
            </w:r>
          </w:p>
        </w:tc>
        <w:tc>
          <w:tcPr/>
          <w:p>
            <w:pPr>
              <w:pStyle w:val="Compact"/>
            </w:pPr>
            <w:r>
              <w:t xml:space="preserve">za montažu u prostor (skid, bez vlastitog kućišta)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Dimenzije</w:t>
            </w:r>
          </w:p>
        </w:tc>
        <w:tc>
          <w:tcPr/>
          <w:p>
            <w:pPr>
              <w:pStyle w:val="Compact"/>
            </w:pPr>
            <w:r>
              <w:t xml:space="preserve">1550 × 620 × 1020 mm (referentno ±5 %)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Masa</w:t>
            </w:r>
          </w:p>
        </w:tc>
        <w:tc>
          <w:tcPr/>
          <w:p>
            <w:pPr>
              <w:pStyle w:val="Compact"/>
            </w:pPr>
            <w:r>
              <w:t xml:space="preserve">365 kg suho / 372 kg mokro (referentno)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Derating</w:t>
            </w:r>
          </w:p>
        </w:tc>
        <w:tc>
          <w:tcPr/>
          <w:p>
            <w:pPr>
              <w:pStyle w:val="Compact"/>
            </w:pPr>
            <w:r>
              <w:t xml:space="preserve">Sjednica: 1076 m n.v., Hamzići: 493 m n.v., temperatura okoline do +40 °C (ISO 3046-1); Ponuđač dostavlja derating proizvođača za obje lokacije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Uzbuda (OBAVEZNO)</w:t>
            </w:r>
          </w:p>
        </w:tc>
        <w:tc>
          <w:tcPr/>
          <w:p>
            <w:pPr>
              <w:pStyle w:val="Compact"/>
            </w:pPr>
            <w:r>
              <w:t xml:space="preserve">nezavisna pobuda —</w:t>
            </w:r>
            <w:r>
              <w:t xml:space="preserve"> </w:t>
            </w:r>
            <w:r>
              <w:rPr>
                <w:b/>
                <w:bCs/>
              </w:rPr>
              <w:t xml:space="preserve">PMG ili AREP/AUX</w:t>
            </w:r>
            <w:r>
              <w:t xml:space="preserve"> </w:t>
            </w:r>
            <w:r>
              <w:t xml:space="preserve">namotaj; trajna struja kratkog spoja</w:t>
            </w:r>
            <w:r>
              <w:t xml:space="preserve"> </w:t>
            </w:r>
            <w:r>
              <w:rPr>
                <w:b/>
                <w:bCs/>
              </w:rPr>
              <w:t xml:space="preserve">≥3 × In (≈78 A)</w:t>
            </w:r>
            <w:r>
              <w:t xml:space="preserve"> </w:t>
            </w:r>
            <w:r>
              <w:t xml:space="preserve">u trajanju ≥10 s prema ISO 8528-3. Standardna SHUNT pobuda</w:t>
            </w:r>
            <w:r>
              <w:t xml:space="preserve"> </w:t>
            </w:r>
            <w:r>
              <w:rPr>
                <w:b/>
                <w:bCs/>
              </w:rPr>
              <w:t xml:space="preserve">NIJE prihvatljiva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Antivibracioni elementi</w:t>
            </w:r>
          </w:p>
        </w:tc>
        <w:tc>
          <w:tcPr/>
          <w:p>
            <w:pPr>
              <w:pStyle w:val="Compact"/>
            </w:pPr>
            <w:r>
              <w:t xml:space="preserve">gumeno-metalni oslonci, vlastita frekvencija ≤8 Hz, statički progib ≥5 mm, između skida i roštilja iz Tačke 4.2;</w:t>
            </w:r>
            <w:r>
              <w:t xml:space="preserve"> </w:t>
            </w:r>
            <w:r>
              <w:rPr>
                <w:b/>
                <w:bCs/>
              </w:rPr>
              <w:t xml:space="preserve">svi priključci na motor elastični</w:t>
            </w:r>
            <w:r>
              <w:t xml:space="preserve"> </w:t>
            </w:r>
            <w:r>
              <w:t xml:space="preserve">— izduv, hladnjak i</w:t>
            </w:r>
            <w:r>
              <w:t xml:space="preserve"> </w:t>
            </w:r>
            <w:r>
              <w:rPr>
                <w:b/>
                <w:bCs/>
              </w:rPr>
              <w:t xml:space="preserve">oba voda goriva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Hladni start</w:t>
            </w:r>
          </w:p>
        </w:tc>
        <w:tc>
          <w:tcPr/>
          <w:p>
            <w:pPr>
              <w:pStyle w:val="Compact"/>
            </w:pPr>
            <w:r>
              <w:t xml:space="preserve">predgrijač rashladne tečnosti na DC, napojen iz DC razvoda −48 V (Tačka 4.5); uključuje ga kontroler agregata samo za kratko predgrijavanje prije starta pri niskoj temperaturi; uz to pomoćna sredstva za hladni start prema proizvođaču i zimsko dizel gorivo prema EN 590. Grijač prostora se ne predviđa — agregat je jedini izvor izmjeničnog napona</w:t>
            </w:r>
          </w:p>
        </w:tc>
      </w:tr>
    </w:tbl>
    <w:p>
      <w:pPr>
        <w:pStyle w:val="CaptionedFigure"/>
      </w:pPr>
      <w:r>
        <w:drawing>
          <wp:inline>
            <wp:extent cx="3665220" cy="3023806"/>
            <wp:effectExtent b="0" l="0" r="0" t="0"/>
            <wp:docPr descr="Slika 1 — FG Wilson P18-6 (Skid), bočni pogled (ilustrativno)" title="" id="21" name="Picture"/>
            <a:graphic>
              <a:graphicData uri="http://schemas.openxmlformats.org/drawingml/2006/picture">
                <pic:pic>
                  <pic:nvPicPr>
                    <pic:cNvPr descr="../TD-OUTPUT/grafika/prilog1/agregat-bocni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5220" cy="30238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1 — FG Wilson P18-6 (Skid), bočni pogled (ilustrativno)</w:t>
      </w:r>
    </w:p>
    <w:p>
      <w:pPr>
        <w:pStyle w:val="CaptionedFigure"/>
      </w:pPr>
      <w:r>
        <w:drawing>
          <wp:inline>
            <wp:extent cx="2565654" cy="3754615"/>
            <wp:effectExtent b="0" l="0" r="0" t="0"/>
            <wp:docPr descr="Slika 2 — FG Wilson P18-6 (Skid), čeoni pogled (generator) (ilustrativno)" title="" id="24" name="Picture"/>
            <a:graphic>
              <a:graphicData uri="http://schemas.openxmlformats.org/drawingml/2006/picture">
                <pic:pic>
                  <pic:nvPicPr>
                    <pic:cNvPr descr="../TD-OUTPUT/grafika/prilog1/agregat-celni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654" cy="37546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2 — FG Wilson P18-6 (Skid), čeoni pogled (generator) (ilustrativno)</w:t>
      </w:r>
    </w:p>
    <w:bookmarkEnd w:id="26"/>
    <w:bookmarkStart w:id="33" w:name="spremnik-goriva-i-oslanjanje-opreme"/>
    <w:p>
      <w:pPr>
        <w:pStyle w:val="Heading3"/>
      </w:pPr>
      <w:r>
        <w:t xml:space="preserve">4.2 Spremnik goriva i oslanjanje opreme</w:t>
      </w:r>
    </w:p>
    <w:p>
      <w:pPr>
        <w:pStyle w:val="Compact"/>
        <w:numPr>
          <w:ilvl w:val="0"/>
          <w:numId w:val="1002"/>
        </w:numPr>
      </w:pPr>
      <w:r>
        <w:t xml:space="preserve">metalni,</w:t>
      </w:r>
      <w:r>
        <w:t xml:space="preserve"> </w:t>
      </w:r>
      <w:r>
        <w:rPr>
          <w:b/>
          <w:bCs/>
        </w:rPr>
        <w:t xml:space="preserve">dvoplašni</w:t>
      </w:r>
      <w:r>
        <w:t xml:space="preserve">, zapremine</w:t>
      </w:r>
      <w:r>
        <w:t xml:space="preserve"> </w:t>
      </w:r>
      <w:r>
        <w:rPr>
          <w:b/>
          <w:bCs/>
        </w:rPr>
        <w:t xml:space="preserve">500 l</w:t>
      </w:r>
      <w:r>
        <w:t xml:space="preserve">, sa nivo sondom i detekcijom curenja</w:t>
      </w:r>
      <w:r>
        <w:t xml:space="preserve"> </w:t>
      </w:r>
      <w:r>
        <w:t xml:space="preserve">goriva u međuplaštu</w:t>
      </w:r>
    </w:p>
    <w:p>
      <w:pPr>
        <w:pStyle w:val="Compact"/>
        <w:numPr>
          <w:ilvl w:val="0"/>
          <w:numId w:val="1002"/>
        </w:numPr>
      </w:pPr>
      <w:r>
        <w:t xml:space="preserve">referentne dimenzije 1050 × 600 × 1310 mm, masa cca 170 kg — pun ≈590 kg na</w:t>
      </w:r>
      <w:r>
        <w:t xml:space="preserve"> </w:t>
      </w:r>
      <w:r>
        <w:t xml:space="preserve">0,63 m² = 9,2 kN/m²; unutar projektnih 10,00 kN/m²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OBAVEZAN čelični ram/roštilj za raznošenje opterećenja</w:t>
      </w:r>
      <w:r>
        <w:t xml:space="preserve"> </w:t>
      </w:r>
      <w:r>
        <w:t xml:space="preserve">pod DEA i pod koritom sa</w:t>
      </w:r>
      <w:r>
        <w:t xml:space="preserve"> </w:t>
      </w:r>
      <w:r>
        <w:t xml:space="preserve">spremnikom, sa prenosom na primarne nosače podne konstrukcije. Opterećenja su</w:t>
      </w:r>
      <w:r>
        <w:t xml:space="preserve"> </w:t>
      </w:r>
      <w:r>
        <w:t xml:space="preserve">koncentrisana na mali broj sekundarnih nosača (HOP 100 × 50 × 3 na 0,51 m), dok se</w:t>
      </w:r>
      <w:r>
        <w:t xml:space="preserve"> </w:t>
      </w:r>
      <w:r>
        <w:t xml:space="preserve">10,00 kN/m² odnosi na ravnomjerno raspodijeljeno opterećenje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sekundarnu zaštitu čini međuplašt</w:t>
      </w:r>
      <w:r>
        <w:t xml:space="preserve"> </w:t>
      </w:r>
      <w:r>
        <w:t xml:space="preserve">dvoplašnog spremnika sa sondom za detekciju</w:t>
      </w:r>
      <w:r>
        <w:t xml:space="preserve"> </w:t>
      </w:r>
      <w:r>
        <w:t xml:space="preserve">curenja, pa tankvana zapremine ≥110 %</w:t>
      </w:r>
      <w:r>
        <w:t xml:space="preserve"> </w:t>
      </w:r>
      <w:r>
        <w:rPr>
          <w:b/>
          <w:bCs/>
        </w:rPr>
        <w:t xml:space="preserve">NIJE zahtijevana</w:t>
      </w:r>
      <w:r>
        <w:t xml:space="preserve">. Ispod spremnika se</w:t>
      </w:r>
      <w:r>
        <w:t xml:space="preserve"> </w:t>
      </w:r>
      <w:r>
        <w:t xml:space="preserve">izvodi</w:t>
      </w:r>
      <w:r>
        <w:t xml:space="preserve"> </w:t>
      </w:r>
      <w:r>
        <w:rPr>
          <w:b/>
          <w:bCs/>
        </w:rPr>
        <w:t xml:space="preserve">prihvatno korito (kada) 1150 × 640 mm, visina ruba 200 mm</w:t>
      </w:r>
      <w:r>
        <w:t xml:space="preserve">, za prihvat</w:t>
      </w:r>
      <w:r>
        <w:t xml:space="preserve"> </w:t>
      </w:r>
      <w:r>
        <w:t xml:space="preserve">kapanja i prosipanja, sa vidljivim najnižim mjestom za kontrolu i pražnjenje</w:t>
      </w:r>
    </w:p>
    <w:p>
      <w:pPr>
        <w:pStyle w:val="Compact"/>
        <w:numPr>
          <w:ilvl w:val="0"/>
          <w:numId w:val="1002"/>
        </w:numPr>
      </w:pPr>
      <w:r>
        <w:t xml:space="preserve">vanjski priključak za tankanje sa zaštitom od statičkog elektriciteta i</w:t>
      </w:r>
      <w:r>
        <w:t xml:space="preserve"> </w:t>
      </w:r>
      <w:r>
        <w:t xml:space="preserve">sprječavanjem prelijevanja</w:t>
      </w:r>
    </w:p>
    <w:p>
      <w:pPr>
        <w:pStyle w:val="Compact"/>
        <w:numPr>
          <w:ilvl w:val="0"/>
          <w:numId w:val="1002"/>
        </w:numPr>
      </w:pPr>
      <w:r>
        <w:t xml:space="preserve">odušna cijev izvan kontejnera, sa plamenobranom, udaljena ≥3 m od izduva i usisa</w:t>
      </w:r>
      <w:r>
        <w:t xml:space="preserve"> </w:t>
      </w:r>
      <w:r>
        <w:t xml:space="preserve">zraka</w:t>
      </w:r>
    </w:p>
    <w:p>
      <w:pPr>
        <w:pStyle w:val="Compact"/>
        <w:numPr>
          <w:ilvl w:val="0"/>
          <w:numId w:val="1002"/>
        </w:numPr>
      </w:pPr>
      <w:r>
        <w:t xml:space="preserve">protupožarni ventil na izlazu iz spremnika (topljivi osigurač ili solenoid),</w:t>
      </w:r>
      <w:r>
        <w:t xml:space="preserve"> </w:t>
      </w:r>
      <w:r>
        <w:t xml:space="preserve">aktiviran požarom i E-STOP-om</w:t>
      </w:r>
    </w:p>
    <w:p>
      <w:pPr>
        <w:pStyle w:val="Compact"/>
        <w:numPr>
          <w:ilvl w:val="0"/>
          <w:numId w:val="1002"/>
        </w:numPr>
      </w:pPr>
      <w:r>
        <w:t xml:space="preserve">napajanje motora gorivom Cu cijevima NO 8 mm (polazni i povratni vod), sa</w:t>
      </w:r>
      <w:r>
        <w:t xml:space="preserve"> </w:t>
      </w:r>
      <w:r>
        <w:rPr>
          <w:b/>
          <w:bCs/>
        </w:rPr>
        <w:t xml:space="preserve">fleksibilnim umetkom na oba voda neposredno uz motor</w:t>
      </w:r>
    </w:p>
    <w:p>
      <w:pPr>
        <w:pStyle w:val="Compact"/>
        <w:numPr>
          <w:ilvl w:val="0"/>
          <w:numId w:val="1002"/>
        </w:numPr>
      </w:pPr>
      <w:r>
        <w:t xml:space="preserve">sifon protiv povratnog toka</w:t>
      </w:r>
    </w:p>
    <w:p>
      <w:pPr>
        <w:pStyle w:val="CaptionedFigure"/>
      </w:pPr>
      <w:r>
        <w:drawing>
          <wp:inline>
            <wp:extent cx="3359785" cy="3355157"/>
            <wp:effectExtent b="0" l="0" r="0" t="0"/>
            <wp:docPr descr="Slika 3 — Spremnik goriva 500 l, bočni izgled (ilustrativno)" title="" id="28" name="Picture"/>
            <a:graphic>
              <a:graphicData uri="http://schemas.openxmlformats.org/drawingml/2006/picture">
                <pic:pic>
                  <pic:nvPicPr>
                    <pic:cNvPr descr="../TD-OUTPUT/grafika/prilog1/spremnik-bocni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785" cy="3355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3 — Spremnik goriva 500 l, bočni izgled (ilustrativno)</w:t>
      </w:r>
    </w:p>
    <w:p>
      <w:pPr>
        <w:pStyle w:val="CaptionedFigure"/>
      </w:pPr>
      <w:r>
        <w:drawing>
          <wp:inline>
            <wp:extent cx="3787394" cy="2482742"/>
            <wp:effectExtent b="0" l="0" r="0" t="0"/>
            <wp:docPr descr="Slika 4 — Spremnik goriva 500 l, pogled od vrha (ilustrativno)" title="" id="31" name="Picture"/>
            <a:graphic>
              <a:graphicData uri="http://schemas.openxmlformats.org/drawingml/2006/picture">
                <pic:pic>
                  <pic:nvPicPr>
                    <pic:cNvPr descr="../TD-OUTPUT/grafika/prilog1/spremnik-odozgo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7394" cy="24827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4 — Spremnik goriva 500 l, pogled od vrha (ilustrativno)</w:t>
      </w:r>
    </w:p>
    <w:bookmarkEnd w:id="33"/>
    <w:bookmarkStart w:id="42" w:name="ventilacija-i-hlađenje"/>
    <w:p>
      <w:pPr>
        <w:pStyle w:val="Heading3"/>
      </w:pPr>
      <w:r>
        <w:t xml:space="preserve">4.3 Ventilacija i hlađenje</w:t>
      </w:r>
    </w:p>
    <w:p>
      <w:pPr>
        <w:pStyle w:val="FirstParagraph"/>
      </w:pPr>
      <w:r>
        <w:t xml:space="preserve">Dimenzionisano prema tehničkom listu proizvođača. Mjerodavno ograničenje je</w:t>
      </w:r>
      <w:r>
        <w:t xml:space="preserve"> </w:t>
      </w:r>
      <w:r>
        <w:rPr>
          <w:b/>
          <w:bCs/>
        </w:rPr>
        <w:t xml:space="preserve">maksimalni vanjski otpor strujanju zraka od 125 Pa</w:t>
      </w:r>
      <w:r>
        <w:t xml:space="preserve"> </w:t>
      </w:r>
      <w:r>
        <w:t xml:space="preserve">za cjelokupnu putanju.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Vrijednost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Zrak hladnjaka</w:t>
            </w:r>
          </w:p>
        </w:tc>
        <w:tc>
          <w:tcPr/>
          <w:p>
            <w:pPr>
              <w:pStyle w:val="Compact"/>
            </w:pPr>
            <w:r>
              <w:t xml:space="preserve">1980 m³/h (33 m³/min) — ostvaruje vlastiti ventilator hladnjaka; korigovano na gustinu lokacije: Sjednica 2151 m³/h, Hamzići 2206 m³/h</w:t>
            </w:r>
          </w:p>
        </w:tc>
      </w:tr>
      <w:tr>
        <w:tc>
          <w:tcPr/>
          <w:p>
            <w:pPr>
              <w:pStyle w:val="Compact"/>
            </w:pPr>
            <w:r>
              <w:t xml:space="preserve">Zrak za sagorijevanje</w:t>
            </w:r>
          </w:p>
        </w:tc>
        <w:tc>
          <w:tcPr/>
          <w:p>
            <w:pPr>
              <w:pStyle w:val="Compact"/>
            </w:pPr>
            <w:r>
              <w:t xml:space="preserve">90 m³/h; max. otpor usisa 3 kPa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Maks. vanjski otpor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125 Pa</w:t>
            </w:r>
            <w:r>
              <w:t xml:space="preserve"> </w:t>
            </w:r>
            <w:r>
              <w:t xml:space="preserve">(ukupno: usis + kanal + izlaz)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Toplota u prostor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5,8 kW</w:t>
            </w:r>
            <w:r>
              <w:t xml:space="preserve"> </w:t>
            </w:r>
            <w:r>
              <w:t xml:space="preserve">(uz 15,2 kW odvedenih rashladnom tečnošću i uljem)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Usisna žaluzina</w:t>
            </w:r>
          </w:p>
        </w:tc>
        <w:tc>
          <w:tcPr/>
          <w:p>
            <w:pPr>
              <w:pStyle w:val="Compact"/>
            </w:pPr>
            <w:r>
              <w:t xml:space="preserve">500 × 700 mm (v ≈ 3,6 m/s, Δp ≈ 18 Pa)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Izlaz toplog zraka</w:t>
            </w:r>
          </w:p>
        </w:tc>
        <w:tc>
          <w:tcPr/>
          <w:p>
            <w:pPr>
              <w:pStyle w:val="Compact"/>
            </w:pPr>
            <w:r>
              <w:t xml:space="preserve">slobodna površina ≥0,18 m² (bruto ≥0,36 m², npr. 600 × 600 mm; v ≈ 3,5 m/s)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 prostora</w:t>
            </w:r>
          </w:p>
        </w:tc>
        <w:tc>
          <w:tcPr/>
          <w:p>
            <w:pPr>
              <w:pStyle w:val="Compact"/>
            </w:pPr>
            <w:r>
              <w:t xml:space="preserve">1200 m³/h, Ø315,</w:t>
            </w:r>
            <w:r>
              <w:t xml:space="preserve"> </w:t>
            </w:r>
            <w:r>
              <w:rPr>
                <w:b/>
                <w:bCs/>
              </w:rPr>
              <w:t xml:space="preserve">48 V DC (EC)</w:t>
            </w:r>
            <w:r>
              <w:t xml:space="preserve">, napajan sa DC razvoda −48 V (Tačka 4.5); vođen termostatom dok agregat ne radi (i za hlađenje nakon zaustavljanja); kontroler DEA ga isključuje dok agregat radi, jer tada prostor ventilira struja zraka hladnjaka; blokiran sa aktiviranjem gašenja požara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Provjera</w:t>
            </w:r>
          </w:p>
        </w:tc>
        <w:tc>
          <w:tcPr/>
          <w:p>
            <w:pPr>
              <w:pStyle w:val="Compact"/>
            </w:pPr>
            <w:r>
              <w:t xml:space="preserve">Izvođač dostavlja proračun pada pritiska ukupne putanje za svaku lokaciju</w:t>
            </w:r>
          </w:p>
        </w:tc>
      </w:tr>
    </w:tbl>
    <w:p>
      <w:pPr>
        <w:pStyle w:val="BodyText"/>
      </w:pPr>
      <w:r>
        <w:t xml:space="preserve">Otvori se izvode kroz</w:t>
      </w:r>
      <w:r>
        <w:t xml:space="preserve"> </w:t>
      </w:r>
      <w:r>
        <w:rPr>
          <w:b/>
          <w:bCs/>
        </w:rPr>
        <w:t xml:space="preserve">ZIDNE PANELE</w:t>
      </w:r>
      <w:r>
        <w:t xml:space="preserve"> </w:t>
      </w:r>
      <w:r>
        <w:t xml:space="preserve">kontejnera. Raspored je ukrsni. Nije dozvoljeno</w:t>
      </w:r>
      <w:r>
        <w:t xml:space="preserve"> </w:t>
      </w:r>
      <w:r>
        <w:t xml:space="preserve">izvesti usis, izlaz i izduv na istom zidu, niti dovod zraka kroz ulazna vrata.</w:t>
      </w:r>
    </w:p>
    <w:bookmarkStart w:id="37" w:name="a-raspored-otvora-bs-sjednica-crtež-m-01"/>
    <w:p>
      <w:pPr>
        <w:pStyle w:val="Heading4"/>
      </w:pPr>
      <w:r>
        <w:t xml:space="preserve">4.3.A Raspored otvora — BS Sjednica (crtež M-01)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Zid i položaj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Usisna žaluzina 500 × 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SJEVERNI zid, istočni kraj</w:t>
            </w:r>
            <w:r>
              <w:t xml:space="preserve">; donja ivica +0,30 m od poda. Sjeverna strana je zasjenjena i daje najhladniji usisni zrak; žaluzina se postavlja istočno od vanjskih ormara ICC360-HA1-C1/MTS9302A</w:t>
            </w:r>
          </w:p>
        </w:tc>
      </w:tr>
      <w:tr>
        <w:tc>
          <w:tcPr/>
          <w:p>
            <w:pPr>
              <w:pStyle w:val="Compact"/>
            </w:pPr>
            <w:r>
              <w:t xml:space="preserve">Kanal hladnjaka + izlazna žaluzina 600 × 600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ZAPADNI zid</w:t>
            </w:r>
            <w:r>
              <w:t xml:space="preserve">, na osi hladnjaka agregata; kanal najkraćim putem od hladnjaka kroz zid,</w:t>
            </w:r>
            <w:r>
              <w:t xml:space="preserve"> </w:t>
            </w:r>
            <w:r>
              <w:rPr>
                <w:b/>
                <w:bCs/>
              </w:rPr>
              <w:t xml:space="preserve">razvijena površina ≈1,0 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Izduv</w:t>
            </w:r>
          </w:p>
        </w:tc>
        <w:tc>
          <w:tcPr/>
          <w:p>
            <w:pPr>
              <w:pStyle w:val="Compact"/>
            </w:pPr>
            <w:r>
              <w:t xml:space="preserve">uz</w:t>
            </w:r>
            <w:r>
              <w:t xml:space="preserve"> </w:t>
            </w:r>
            <w:r>
              <w:rPr>
                <w:b/>
                <w:bCs/>
              </w:rPr>
              <w:t xml:space="preserve">ZAPADNI zid</w:t>
            </w:r>
            <w:r>
              <w:t xml:space="preserve">, završetak iznad krova (Tačka 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Odušna cijev spremnika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JUŽNI zid</w:t>
            </w:r>
            <w:r>
              <w:t xml:space="preserve">, istočni kraj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 prostora Ø315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ISTOČNI zid</w:t>
            </w:r>
            <w:r>
              <w:t xml:space="preserve">, gore (donja ivica ≈+1,75 m), sjeverno od ulaznih vrata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Minimalna razdaljina</w:t>
            </w:r>
          </w:p>
        </w:tc>
        <w:tc>
          <w:tcPr/>
          <w:p>
            <w:pPr>
              <w:pStyle w:val="Compact"/>
            </w:pPr>
            <w:r>
              <w:t xml:space="preserve">≥3 m prostorno između usisa zraka, izduva i odušne cijevi</w:t>
            </w:r>
          </w:p>
        </w:tc>
      </w:tr>
    </w:tbl>
    <w:p>
      <w:pPr>
        <w:pStyle w:val="BodyText"/>
      </w:pPr>
      <w:r>
        <w:t xml:space="preserve">Ukrsno strujanje</w:t>
      </w:r>
      <w:r>
        <w:t xml:space="preserve"> </w:t>
      </w:r>
      <w:r>
        <w:rPr>
          <w:b/>
          <w:bCs/>
        </w:rPr>
        <w:t xml:space="preserve">usis SJEVER → agregat → izlaz ZAPAD</w:t>
      </w:r>
      <w:r>
        <w:t xml:space="preserve">. Nije dozvoljeno usmjeriti topli</w:t>
      </w:r>
      <w:r>
        <w:t xml:space="preserve"> </w:t>
      </w:r>
      <w:r>
        <w:t xml:space="preserve">zrak ili izduv prema SJEVERNOJ strani, gdje su vanjski ormari i usis svježeg zraka.</w:t>
      </w:r>
    </w:p>
    <w:p>
      <w:pPr>
        <w:pStyle w:val="CaptionedFigure"/>
      </w:pPr>
      <w:r>
        <w:drawing>
          <wp:inline>
            <wp:extent cx="6108700" cy="4318218"/>
            <wp:effectExtent b="0" l="0" r="0" t="0"/>
            <wp:docPr descr="Slika 5 — BS Sjednica: raspored opreme i otvora u kontejneru, crtež M-01 (Prilog III)" title="" id="35" name="Picture"/>
            <a:graphic>
              <a:graphicData uri="http://schemas.openxmlformats.org/drawingml/2006/picture">
                <pic:pic>
                  <pic:nvPicPr>
                    <pic:cNvPr descr="../TD-OUTPUT/grafika/prilog1/m01-raspored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8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5 — BS Sjednica: raspored opreme i otvora u kontejneru, crtež M-01 (Prilog III)</w:t>
      </w:r>
    </w:p>
    <w:bookmarkEnd w:id="37"/>
    <w:bookmarkStart w:id="41" w:name="b-raspored-otvora-bs-hamzići-crtež-h-04"/>
    <w:p>
      <w:pPr>
        <w:pStyle w:val="Heading4"/>
      </w:pPr>
      <w:r>
        <w:t xml:space="preserve">4.3.B Raspored otvora — BS Hamzići (crtež H-04)</w:t>
      </w:r>
    </w:p>
    <w:p>
      <w:pPr>
        <w:pStyle w:val="FirstParagraph"/>
      </w:pPr>
      <w:r>
        <w:t xml:space="preserve">Izlaz toplog zraka hladnjaka ide kroz</w:t>
      </w:r>
      <w:r>
        <w:t xml:space="preserve"> </w:t>
      </w:r>
      <w:r>
        <w:rPr>
          <w:b/>
          <w:bCs/>
        </w:rPr>
        <w:t xml:space="preserve">postojeće otvore klima-uređaja Stulz</w:t>
      </w:r>
      <w:r>
        <w:t xml:space="preserve"> </w:t>
      </w:r>
      <w:r>
        <w:t xml:space="preserve">u</w:t>
      </w:r>
      <w:r>
        <w:t xml:space="preserve"> </w:t>
      </w:r>
      <w:r>
        <w:t xml:space="preserve">sredini južnog zida (Tačka 4.8). Projekat klimatizacije iz 2017. predviđa dva otvora</w:t>
      </w:r>
      <w:r>
        <w:t xml:space="preserve"> </w:t>
      </w:r>
      <w:r>
        <w:t xml:space="preserve">300 × 700 mm; stvarne otvore ugrađenog uređaja Ponuđač mjeri pri obilasku.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Zid i položaj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Usisna žaluzina 500 × 700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ZAPADNI zid</w:t>
            </w:r>
            <w:r>
              <w:t xml:space="preserve">, novi otvor uz alternator (sjeverni kraj agregata), sjeverno od spremnika; donja ivica +0,30 m od poda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Plenum hladnjaka + izlaz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JUŽNI zid, u sredini</w:t>
            </w:r>
            <w:r>
              <w:t xml:space="preserve"> </w:t>
            </w:r>
            <w:r>
              <w:t xml:space="preserve">— kroz postojeće otvore klima-uređaja Stulz, spojene/proširene na</w:t>
            </w:r>
            <w:r>
              <w:t xml:space="preserve"> </w:t>
            </w:r>
            <w:r>
              <w:rPr>
                <w:b/>
                <w:bCs/>
              </w:rPr>
              <w:t xml:space="preserve">≥0,36 m² bruto</w:t>
            </w:r>
            <w:r>
              <w:t xml:space="preserve">, sa fiksnom žaluzinom; nekorišteni dio otvora zatvara se sendvič panelom 60 mm iste izvedbe kao zid; plenum od pocinčanog lima, razvijena površina ≈1,5 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Hauba</w:t>
            </w:r>
          </w:p>
        </w:tc>
        <w:tc>
          <w:tcPr/>
          <w:p>
            <w:pPr>
              <w:pStyle w:val="Compact"/>
            </w:pPr>
            <w:r>
              <w:t xml:space="preserve">vani na južnom zidu, 700 × 600 mm, od pocinčanog lima, zatvorenih bočnih strana i dna, sa rešetkom na vrhu (≈+1,30 m): topli zrak ide</w:t>
            </w:r>
            <w:r>
              <w:t xml:space="preserve"> </w:t>
            </w:r>
            <w:r>
              <w:rPr>
                <w:b/>
                <w:bCs/>
              </w:rPr>
              <w:t xml:space="preserve">NAVIŠE</w:t>
            </w:r>
            <w:r>
              <w:t xml:space="preserve">, ne prema FN polju (≈0,77 m južnije); ≥1,0 m od nogu stuba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Izduv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ISTOČNI zid</w:t>
            </w:r>
            <w:r>
              <w:t xml:space="preserve">, horizontalno na ≈+2,30 m, ispod platforme stuba; prigušivač u istočnom prolazu; završetak ≥0,40 m od zida (Tačka 4.4)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Agregat</w:t>
            </w:r>
          </w:p>
        </w:tc>
        <w:tc>
          <w:tcPr/>
          <w:p>
            <w:pPr>
              <w:pStyle w:val="Compact"/>
            </w:pPr>
            <w:r>
              <w:t xml:space="preserve">duža osa</w:t>
            </w:r>
            <w:r>
              <w:t xml:space="preserve"> </w:t>
            </w:r>
            <w:r>
              <w:rPr>
                <w:b/>
                <w:bCs/>
              </w:rPr>
              <w:t xml:space="preserve">SJEVER–JUG</w:t>
            </w:r>
            <w:r>
              <w:t xml:space="preserve">, u sredini kontejnera, hladnjak na jugu; servisna strana je</w:t>
            </w:r>
            <w:r>
              <w:t xml:space="preserve"> </w:t>
            </w:r>
            <w:r>
              <w:rPr>
                <w:b/>
                <w:bCs/>
              </w:rPr>
              <w:t xml:space="preserve">istočna</w:t>
            </w:r>
            <w:r>
              <w:t xml:space="preserve"> </w:t>
            </w:r>
            <w:r>
              <w:t xml:space="preserve">(0,78 m), sjeverni kraj 0,97 m do GRO, zapadna strana 0,78 m (uz korito spremnika 0,14 m) — Ponuđač potvrđuje da su servisne tačke agregata dostupne sa istočne strane i sjevernog kraja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Spremnik 500 l</w:t>
            </w:r>
          </w:p>
        </w:tc>
        <w:tc>
          <w:tcPr/>
          <w:p>
            <w:pPr>
              <w:pStyle w:val="Compact"/>
            </w:pPr>
            <w:r>
              <w:t xml:space="preserve">u</w:t>
            </w:r>
            <w:r>
              <w:t xml:space="preserve"> </w:t>
            </w:r>
            <w:r>
              <w:rPr>
                <w:b/>
                <w:bCs/>
              </w:rPr>
              <w:t xml:space="preserve">JUGOZAPADNOM uglu</w:t>
            </w:r>
            <w:r>
              <w:t xml:space="preserve">, uz južni i zapadni zid, 0,14 m od agregata; izduv je na istočnoj strani agregata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Odušna cijev spremnika</w:t>
            </w:r>
          </w:p>
        </w:tc>
        <w:tc>
          <w:tcPr/>
          <w:p>
            <w:pPr>
              <w:pStyle w:val="Compact"/>
            </w:pPr>
            <w:r>
              <w:t xml:space="preserve">principijelno kroz</w:t>
            </w:r>
            <w:r>
              <w:t xml:space="preserve"> </w:t>
            </w:r>
            <w:r>
              <w:rPr>
                <w:b/>
                <w:bCs/>
              </w:rPr>
              <w:t xml:space="preserve">JUŽNI zid</w:t>
            </w:r>
            <w:r>
              <w:t xml:space="preserve"> </w:t>
            </w:r>
            <w:r>
              <w:t xml:space="preserve">uz zapadni kraj, pa stojećom cijevi između kontejnera i južne ograde, završetak na +2,80 m; ≥3 m od završetka izduva i od usisne žaluzine, ≥1 m od ormara Huawei; konačno prema elaboratu zaštite od požara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 prostora Ø315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ZAPADNI zid</w:t>
            </w:r>
            <w:r>
              <w:t xml:space="preserve">, gore, sjeverno od usisne žaluzine;</w:t>
            </w:r>
            <w:r>
              <w:t xml:space="preserve"> </w:t>
            </w:r>
            <w:r>
              <w:rPr>
                <w:b/>
                <w:bCs/>
              </w:rPr>
              <w:t xml:space="preserve">izvlačni</w:t>
            </w:r>
            <w:r>
              <w:t xml:space="preserve"> </w:t>
            </w:r>
            <w:r>
              <w:t xml:space="preserve">(izbacuje zrak iz prostora)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SJEVERNI zid</w:t>
            </w:r>
            <w:r>
              <w:t xml:space="preserve">, zapadno od ulaznih vrata; raspoloživi zid je 0,595 m, pa je</w:t>
            </w:r>
            <w:r>
              <w:t xml:space="preserve"> </w:t>
            </w:r>
            <w:r>
              <w:rPr>
                <w:b/>
                <w:bCs/>
              </w:rPr>
              <w:t xml:space="preserve">širina GRO ≤0,50 m</w:t>
            </w:r>
          </w:p>
        </w:tc>
      </w:tr>
      <w:tr>
        <w:tc>
          <w:tcPr/>
          <w:p>
            <w:pPr>
              <w:pStyle w:val="Compact"/>
            </w:pPr>
            <w:r>
              <w:t xml:space="preserve">Huawei ICC360-HA1-C1</w:t>
            </w:r>
          </w:p>
        </w:tc>
        <w:tc>
          <w:tcPr/>
          <w:p>
            <w:pPr>
              <w:pStyle w:val="Compact"/>
            </w:pPr>
            <w:r>
              <w:t xml:space="preserve">vanjski ormar na ploči, sjeverno od kontejnera, između sjeverozapadne noge stuba i krila ulaznih vrata, vratima prema prolazu kapija–vrata; napaja se iz GRO kroz sjeverni zid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Minimalna razdaljina</w:t>
            </w:r>
          </w:p>
        </w:tc>
        <w:tc>
          <w:tcPr/>
          <w:p>
            <w:pPr>
              <w:pStyle w:val="Compact"/>
            </w:pPr>
            <w:r>
              <w:t xml:space="preserve">≥3 m prostorno između usisne žaluzine, završetka izduva i odušne cijevi (H-04: završetak izduva–usis 3,2 m); izvlačni ventilator je izlazni otvor i ne ulazi u ovaj uslov</w:t>
            </w:r>
          </w:p>
        </w:tc>
      </w:tr>
    </w:tbl>
    <w:p>
      <w:pPr>
        <w:pStyle w:val="BodyText"/>
      </w:pPr>
      <w:r>
        <w:t xml:space="preserve">Ukrsno strujanje</w:t>
      </w:r>
      <w:r>
        <w:t xml:space="preserve"> </w:t>
      </w:r>
      <w:r>
        <w:rPr>
          <w:b/>
          <w:bCs/>
        </w:rPr>
        <w:t xml:space="preserve">usis ZAPAD → agregat → izlaz JUG, hauba naviše</w:t>
      </w:r>
      <w:r>
        <w:t xml:space="preserve">; hladnjak agregata je</w:t>
      </w:r>
      <w:r>
        <w:t xml:space="preserve"> </w:t>
      </w:r>
      <w:r>
        <w:t xml:space="preserve">uz južni zid, na mjestu otvora klima-uređaja. Izlaz gleda prema FN polju, pa ga hauba</w:t>
      </w:r>
      <w:r>
        <w:t xml:space="preserve"> </w:t>
      </w:r>
      <w:r>
        <w:t xml:space="preserve">usmjerava naviše; izduv ide na istok, dalje od polja i ulaznih vrata (sjever). Mjere</w:t>
      </w:r>
      <w:r>
        <w:t xml:space="preserve"> </w:t>
      </w:r>
      <w:r>
        <w:t xml:space="preserve">otvora Stulz se uzimaju pri obilasku, pa je raspored na crtežu H-04 principijelan —</w:t>
      </w:r>
      <w:r>
        <w:t xml:space="preserve"> </w:t>
      </w:r>
      <w:r>
        <w:t xml:space="preserve">Ponuđač ga potvrđuje na licu mjesta.</w:t>
      </w:r>
    </w:p>
    <w:p>
      <w:pPr>
        <w:pStyle w:val="CaptionedFigure"/>
      </w:pPr>
      <w:r>
        <w:drawing>
          <wp:inline>
            <wp:extent cx="6108700" cy="4318218"/>
            <wp:effectExtent b="0" l="0" r="0" t="0"/>
            <wp:docPr descr="Slika 6 — BS Hamzići: raspored opreme i otvora u kontejneru, crtež H-04 (Prilog III)" title="" id="39" name="Picture"/>
            <a:graphic>
              <a:graphicData uri="http://schemas.openxmlformats.org/drawingml/2006/picture">
                <pic:pic>
                  <pic:nvPicPr>
                    <pic:cNvPr descr="../TD-OUTPUT/grafika/prilog1/h04-raspored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43182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6 — BS Hamzići: raspored opreme i otvora u kontejneru, crtež H-04 (Prilog III)</w:t>
      </w:r>
    </w:p>
    <w:bookmarkEnd w:id="41"/>
    <w:bookmarkEnd w:id="42"/>
    <w:bookmarkStart w:id="43" w:name="izduvni-sistem"/>
    <w:p>
      <w:pPr>
        <w:pStyle w:val="Heading3"/>
      </w:pPr>
      <w:r>
        <w:t xml:space="preserve">4.4 Izduvni sistem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Parametar</w:t>
            </w:r>
          </w:p>
        </w:tc>
        <w:tc>
          <w:tcPr/>
          <w:p>
            <w:pPr>
              <w:pStyle w:val="Compact"/>
            </w:pPr>
            <w:r>
              <w:t xml:space="preserve">Vrijednost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Protok izduvnih gasova</w:t>
            </w:r>
          </w:p>
        </w:tc>
        <w:tc>
          <w:tcPr/>
          <w:p>
            <w:pPr>
              <w:pStyle w:val="Compact"/>
            </w:pPr>
            <w:r>
              <w:t xml:space="preserve">192 m³/h (3,2 m³/min) pri 413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Maks. dozvoljeni protutlak</w:t>
            </w:r>
          </w:p>
        </w:tc>
        <w:tc>
          <w:tcPr/>
          <w:p>
            <w:pPr>
              <w:pStyle w:val="Compact"/>
            </w:pPr>
            <w:r>
              <w:t xml:space="preserve">10,2 kPa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Dijametar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 50</w:t>
            </w:r>
            <w:r>
              <w:t xml:space="preserve"> </w:t>
            </w:r>
            <w:r>
              <w:t xml:space="preserve">— pri 192 m³/h i 413 °C brzina je 27,2 m/s (&lt; 30 m/s), protutlak ≈1,9 kPa (Sjednica) i ≈1,6 kPa (Hamzići) uz dozvoljenih 10,2 kPa. Prečnik određuje brzina, ne protutlak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Prigušivač</w:t>
            </w:r>
          </w:p>
        </w:tc>
        <w:tc>
          <w:tcPr/>
          <w:p>
            <w:pPr>
              <w:pStyle w:val="Compact"/>
            </w:pPr>
            <w:r>
              <w:t xml:space="preserve">industrijski;</w:t>
            </w:r>
            <w:r>
              <w:t xml:space="preserve"> </w:t>
            </w:r>
            <w:r>
              <w:rPr>
                <w:b/>
                <w:bCs/>
              </w:rPr>
              <w:t xml:space="preserve">hvatač iskri obavezan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Fleksibilni priključak</w:t>
            </w:r>
          </w:p>
        </w:tc>
        <w:tc>
          <w:tcPr/>
          <w:p>
            <w:pPr>
              <w:pStyle w:val="Compact"/>
            </w:pPr>
            <w:r>
              <w:t xml:space="preserve">neposredno iza motora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Izolacija</w:t>
            </w:r>
          </w:p>
        </w:tc>
        <w:tc>
          <w:tcPr/>
          <w:p>
            <w:pPr>
              <w:pStyle w:val="Compact"/>
            </w:pPr>
            <w:r>
              <w:t xml:space="preserve">kamena vuna d = 50 mm + Al lim d = 1 mm; boja otporna na 600 °C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Provjera</w:t>
            </w:r>
          </w:p>
        </w:tc>
        <w:tc>
          <w:tcPr/>
          <w:p>
            <w:pPr>
              <w:pStyle w:val="Compact"/>
            </w:pPr>
            <w:r>
              <w:t xml:space="preserve">Ponuđač dostavlja proračun protutlaka za svaku lokaciju</w:t>
            </w:r>
          </w:p>
        </w:tc>
      </w:tr>
    </w:tbl>
    <w:p/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Trasa i završetak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Trasa</w:t>
            </w:r>
          </w:p>
        </w:tc>
        <w:tc>
          <w:tcPr/>
          <w:p>
            <w:pPr>
              <w:pStyle w:val="Compact"/>
            </w:pPr>
            <w:r>
              <w:t xml:space="preserve">1 m od elastičnog umetka do prigušivača sa jednim lukom 90°; do 4 m od prigušivača do izlaza, uspon uz</w:t>
            </w:r>
            <w:r>
              <w:t xml:space="preserve"> </w:t>
            </w:r>
            <w:r>
              <w:rPr>
                <w:b/>
                <w:bCs/>
              </w:rPr>
              <w:t xml:space="preserve">ZAPADNI zid</w:t>
            </w:r>
            <w:r>
              <w:t xml:space="preserve"> </w:t>
            </w:r>
            <w:r>
              <w:t xml:space="preserve">kontejnera</w:t>
            </w:r>
          </w:p>
        </w:tc>
        <w:tc>
          <w:tcPr/>
          <w:p>
            <w:pPr>
              <w:pStyle w:val="Compact"/>
            </w:pPr>
            <w:r>
              <w:t xml:space="preserve">≈1 m do prigušivača, zatim ≈3 m</w:t>
            </w:r>
            <w:r>
              <w:t xml:space="preserve"> </w:t>
            </w:r>
            <w:r>
              <w:rPr>
                <w:b/>
                <w:bCs/>
              </w:rPr>
              <w:t xml:space="preserve">horizontalno kroz ISTOČNI zid</w:t>
            </w:r>
            <w:r>
              <w:t xml:space="preserve"> </w:t>
            </w:r>
            <w:r>
              <w:t xml:space="preserve">na visini ≈+2,30 m, sa termoizolacionom čahurom u prolazu kroz zid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Završetak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iznad krova, usmjeren naviše</w:t>
            </w:r>
            <w:r>
              <w:t xml:space="preserve">, sa kapom protiv upada padavina, ≥3 m od usisa zraka i odušne cijevi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horizontalno, usmjeren na istok</w:t>
            </w:r>
            <w:r>
              <w:t xml:space="preserve">, ≥0,40 m od zida, ispod platforme stuba (+3,0 m) koja je iznad krova kontejnera — završetak iznad krova nije moguć; kapa protiv padavina, ≥3 m od usisa zraka i odušne cijevi; ne usmjeravati na noge stuba ni kablove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Izolacija</w:t>
            </w:r>
          </w:p>
        </w:tc>
        <w:tc>
          <w:tcPr/>
          <w:p>
            <w:pPr>
              <w:pStyle w:val="Compact"/>
            </w:pPr>
            <w:r>
              <w:t xml:space="preserve">≈3,0 m²</w:t>
            </w:r>
          </w:p>
        </w:tc>
        <w:tc>
          <w:tcPr/>
          <w:p>
            <w:pPr>
              <w:pStyle w:val="Compact"/>
            </w:pPr>
            <w:r>
              <w:t xml:space="preserve">≈2,5 m²</w:t>
            </w:r>
          </w:p>
        </w:tc>
      </w:tr>
    </w:tbl>
    <w:bookmarkEnd w:id="43"/>
    <w:bookmarkStart w:id="44" w:name="elektroinstalacije-i-zaštite"/>
    <w:p>
      <w:pPr>
        <w:pStyle w:val="Heading3"/>
      </w:pPr>
      <w:r>
        <w:t xml:space="preserve">4.5 Elektroinstalacije i zaštite</w:t>
      </w:r>
    </w:p>
    <w:p>
      <w:pPr>
        <w:pStyle w:val="FirstParagraph"/>
      </w:pPr>
      <w:r>
        <w:t xml:space="preserve">Zahtijeva se</w:t>
      </w:r>
      <w:r>
        <w:t xml:space="preserve"> </w:t>
      </w:r>
      <w:r>
        <w:rPr>
          <w:b/>
          <w:bCs/>
        </w:rPr>
        <w:t xml:space="preserve">NEZAVISNA POBUDA</w:t>
      </w:r>
      <w:r>
        <w:t xml:space="preserve"> </w:t>
      </w:r>
      <w:r>
        <w:t xml:space="preserve">generatora (PMG ili AREP/AUX) sa 3 × In u trajanju</w:t>
      </w:r>
      <w:r>
        <w:t xml:space="preserve"> </w:t>
      </w:r>
      <w:r>
        <w:t xml:space="preserve">≥10 s (Tačka 4.1), kao i zaštita zaštitnom strujnom sklopkom (RCD) kao glavnim</w:t>
      </w:r>
      <w:r>
        <w:t xml:space="preserve"> </w:t>
      </w:r>
      <w:r>
        <w:t xml:space="preserve">sredstvom zaštite od indirektnog dodira.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Nazivna struja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 = 26,0 A</w:t>
            </w:r>
            <w:r>
              <w:t xml:space="preserve"> </w:t>
            </w:r>
            <w:r>
              <w:t xml:space="preserve">pri 18 kVA / 400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Struja kvara (SHUNT)</w:t>
            </w:r>
          </w:p>
        </w:tc>
        <w:tc>
          <w:tcPr/>
          <w:p>
            <w:pPr>
              <w:pStyle w:val="Compact"/>
            </w:pPr>
            <w:r>
              <w:t xml:space="preserve">prva poluperioda ≈333 A (12,8 × In) → prelazna ≈169 A (6,5 × In) →</w:t>
            </w:r>
            <w:r>
              <w:t xml:space="preserve"> </w:t>
            </w:r>
            <w:r>
              <w:rPr>
                <w:b/>
                <w:bCs/>
              </w:rPr>
              <w:t xml:space="preserve">TRAJNA ≈13 A (0,5 × In)</w:t>
            </w:r>
            <w:r>
              <w:t xml:space="preserve"> </w:t>
            </w:r>
            <w:r>
              <w:t xml:space="preserve">— ne aktivira zaštitu (</w:t>
            </w:r>
            <w:r>
              <w:rPr>
                <w:b/>
                <w:bCs/>
              </w:rPr>
              <w:t xml:space="preserve">ne zadovoljava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Struja kvara (PMG/AREP)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≥78 A (3 × In) trajno ≥10 s — ZAHTIJEVANO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Sistem zaštite</w:t>
            </w:r>
          </w:p>
        </w:tc>
        <w:tc>
          <w:tcPr/>
          <w:p>
            <w:pPr>
              <w:pStyle w:val="Compact"/>
            </w:pPr>
            <w:r>
              <w:t xml:space="preserve">TN-S, jedinstvena tačka spajanja N i PE u novom GRO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Glavna zaštita</w:t>
            </w:r>
          </w:p>
        </w:tc>
        <w:tc>
          <w:tcPr/>
          <w:p>
            <w:pPr>
              <w:pStyle w:val="Compact"/>
            </w:pPr>
            <w:r>
              <w:t xml:space="preserve">4p RCD 63 A / 300 mA, S-tip (selektivna)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Krajnji strujni krugovi</w:t>
            </w:r>
          </w:p>
        </w:tc>
        <w:tc>
          <w:tcPr/>
          <w:p>
            <w:pPr>
              <w:pStyle w:val="Compact"/>
            </w:pPr>
            <w:r>
              <w:t xml:space="preserve">RCBO 16 A / 30 mA, tip A (utičnice, rasvjeta)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Sklopka izvora</w:t>
            </w:r>
          </w:p>
        </w:tc>
        <w:tc>
          <w:tcPr/>
          <w:p>
            <w:pPr>
              <w:pStyle w:val="Compact"/>
            </w:pPr>
            <w:r>
              <w:t xml:space="preserve">4p 63 A, položaji 1 – agregat / 0 – isključeno / 2 – rezerva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SPD, AC strana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 1 + 2</w:t>
            </w:r>
            <w:r>
              <w:t xml:space="preserve"> </w:t>
            </w:r>
            <w:r>
              <w:t xml:space="preserve">(Iimp ≥12,5 kA) — objekti imaju vanjski LPS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SPD, DC strana</w:t>
            </w:r>
          </w:p>
        </w:tc>
        <w:tc>
          <w:tcPr/>
          <w:p>
            <w:pPr>
              <w:pStyle w:val="Compact"/>
            </w:pPr>
            <w:r>
              <w:t xml:space="preserve">tip 2 po stringu (Iimp ≥5 kA, Ucpv ≥425 V), na PVDB i na polju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SPD, signalni vodovi</w:t>
            </w:r>
          </w:p>
        </w:tc>
        <w:tc>
          <w:tcPr/>
          <w:p>
            <w:pPr>
              <w:pStyle w:val="Compact"/>
            </w:pPr>
            <w:r>
              <w:t xml:space="preserve">prema EN 61643-21 (obavezno za stubove h = 38 m i h = 32 m)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 kablovi</w:t>
            </w:r>
          </w:p>
        </w:tc>
        <w:tc>
          <w:tcPr/>
          <w:p>
            <w:pPr>
              <w:pStyle w:val="Compact"/>
            </w:pPr>
            <w:r>
              <w:t xml:space="preserve">bezhalogeni, CPR ≥ Cca-s1b,d1,a1</w:t>
            </w:r>
          </w:p>
        </w:tc>
      </w:tr>
      <w:tr>
        <w:tc>
          <w:tcPr/>
          <w:p>
            <w:pPr>
              <w:pStyle w:val="Compact"/>
            </w:pPr>
            <w:r>
              <w:t xml:space="preserve">DC kablovi</w:t>
            </w:r>
          </w:p>
        </w:tc>
        <w:tc>
          <w:tcPr/>
          <w:p>
            <w:pPr>
              <w:pStyle w:val="Compact"/>
            </w:pPr>
            <w:r>
              <w:t xml:space="preserve">H1Z2Z2-K 6 mm²; priključak na iSSU presjekom 4 mm²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Otpor uzemljenja</w:t>
            </w:r>
          </w:p>
        </w:tc>
        <w:tc>
          <w:tcPr/>
          <w:p>
            <w:pPr>
              <w:pStyle w:val="Compact"/>
            </w:pPr>
            <w:r>
              <w:t xml:space="preserve">≤10 Ω</w:t>
            </w:r>
          </w:p>
        </w:tc>
      </w:tr>
    </w:tbl>
    <w:p/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Postojeće stanje i novi GRO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Postojeći strujni krugovi</w:t>
            </w:r>
          </w:p>
        </w:tc>
        <w:tc>
          <w:tcPr/>
          <w:p>
            <w:pPr>
              <w:pStyle w:val="Compact"/>
            </w:pPr>
            <w:r>
              <w:t xml:space="preserve">snimiti stanje i prevezati postojeće krugove u novi GRO; signalna rasvjeta antenskog stuba (K7) prelazi na DC razvod −48 V</w:t>
            </w:r>
          </w:p>
        </w:tc>
        <w:tc>
          <w:tcPr/>
          <w:p>
            <w:pPr>
              <w:pStyle w:val="Compact"/>
            </w:pPr>
            <w:r>
              <w:t xml:space="preserve">kontejner je</w:t>
            </w:r>
            <w:r>
              <w:t xml:space="preserve"> </w:t>
            </w:r>
            <w:r>
              <w:rPr>
                <w:b/>
                <w:bCs/>
              </w:rPr>
              <w:t xml:space="preserve">prazan — nema GRO ni krugova</w:t>
            </w:r>
            <w:r>
              <w:t xml:space="preserve">: nova rasvjeta (2 LED svjetiljke IP65 ≥1500 lm; jedna je za 48 V DC na DC razvodu, pa je svjetlo dostupno i kad agregat ne radi), 2 utičnice 230 V/16 A IP44, kablovi u kanalicama; postojeća svjetiljka za obilježavanje stuba prelazi na DC razvod −48 V</w:t>
            </w:r>
          </w:p>
        </w:tc>
      </w:tr>
      <w:tr>
        <w:tc>
          <w:tcPr/>
          <w:p>
            <w:pPr>
              <w:pStyle w:val="Compact"/>
            </w:pPr>
            <w:r>
              <w:t xml:space="preserve">Klima-uređaj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bez kruga za klima-uređaj</w:t>
            </w:r>
            <w:r>
              <w:t xml:space="preserve"> </w:t>
            </w:r>
            <w:r>
              <w:t xml:space="preserve">(demontira se, Tačka 4.8)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Smještaj GRO</w:t>
            </w:r>
          </w:p>
        </w:tc>
        <w:tc>
          <w:tcPr/>
          <w:p>
            <w:pPr>
              <w:pStyle w:val="Compact"/>
            </w:pPr>
            <w:r>
              <w:t xml:space="preserve">SJEVERNI zid, uz vanjski ormar koji napaja</w:t>
            </w:r>
          </w:p>
        </w:tc>
        <w:tc>
          <w:tcPr/>
          <w:p>
            <w:pPr>
              <w:pStyle w:val="Compact"/>
            </w:pPr>
            <w:r>
              <w:t xml:space="preserve">SJEVERNI zid, zapadno od ulaznih vrata;</w:t>
            </w:r>
            <w:r>
              <w:t xml:space="preserve"> </w:t>
            </w:r>
            <w:r>
              <w:rPr>
                <w:b/>
                <w:bCs/>
              </w:rPr>
              <w:t xml:space="preserve">širina ≤0,50 m</w:t>
            </w:r>
            <w:r>
              <w:t xml:space="preserve"> </w:t>
            </w:r>
            <w:r>
              <w:t xml:space="preserve">(raspoloživi zid 0,595 m); ormar Huawei je vani, uz sjeverni zid (Tačka 4.3.B)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Grafički prilog</w:t>
            </w:r>
          </w:p>
        </w:tc>
        <w:tc>
          <w:tcPr/>
          <w:p>
            <w:pPr>
              <w:pStyle w:val="Compact"/>
            </w:pPr>
            <w:r>
              <w:t xml:space="preserve">E-01</w:t>
            </w:r>
          </w:p>
        </w:tc>
        <w:tc>
          <w:tcPr/>
          <w:p>
            <w:pPr>
              <w:pStyle w:val="Compact"/>
            </w:pPr>
            <w:r>
              <w:t xml:space="preserve">H-05</w:t>
            </w:r>
          </w:p>
        </w:tc>
      </w:tr>
    </w:tbl>
    <w:p>
      <w:pPr>
        <w:pStyle w:val="BodyText"/>
      </w:pPr>
      <w:r>
        <w:rPr>
          <w:b/>
          <w:bCs/>
        </w:rPr>
        <w:t xml:space="preserve">Trajni potrošači — napajanje sa −48 V DC (obje lokacije).</w:t>
      </w:r>
      <w:r>
        <w:t xml:space="preserve"> </w:t>
      </w:r>
      <w:r>
        <w:t xml:space="preserve">Agregat je jedini izvor</w:t>
      </w:r>
      <w:r>
        <w:t xml:space="preserve"> </w:t>
      </w:r>
      <w:r>
        <w:t xml:space="preserve">izmjeničnog napona: izvodi GRO (rasvjeta, utičnice, pomoćni potrošači agregata, napajanje</w:t>
      </w:r>
      <w:r>
        <w:t xml:space="preserve"> </w:t>
      </w:r>
      <w:r>
        <w:t xml:space="preserve">ispravljača) su pod naponom samo dok agregat radi. Potrošači koji moraju raditi i kad</w:t>
      </w:r>
      <w:r>
        <w:t xml:space="preserve"> </w:t>
      </w:r>
      <w:r>
        <w:t xml:space="preserve">agregat ne radi napajaju se sa −48 V DC iz ormara Huawei ICC360-HA1-C1 — sa slobodnog DC</w:t>
      </w:r>
      <w:r>
        <w:t xml:space="preserve"> </w:t>
      </w:r>
      <w:r>
        <w:t xml:space="preserve">izvoda sa vlastitim zaštitnim prekidačem — preko novog</w:t>
      </w:r>
      <w:r>
        <w:t xml:space="preserve"> </w:t>
      </w:r>
      <w:r>
        <w:rPr>
          <w:b/>
          <w:bCs/>
        </w:rPr>
        <w:t xml:space="preserve">DC razvoda −48 V</w:t>
      </w:r>
      <w:r>
        <w:t xml:space="preserve"> </w:t>
      </w:r>
      <w:r>
        <w:t xml:space="preserve">u kontejneru: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Potrošač na DC razvodu</w:t>
            </w:r>
          </w:p>
        </w:tc>
        <w:tc>
          <w:tcPr/>
          <w:p>
            <w:pPr>
              <w:pStyle w:val="Compact"/>
            </w:pPr>
            <w:r>
              <w:t xml:space="preserve">Zahtjev</w:t>
            </w:r>
          </w:p>
        </w:tc>
      </w:tr>
      <w:tr>
        <w:tc>
          <w:tcPr/>
          <w:p>
            <w:pPr>
              <w:pStyle w:val="Compact"/>
            </w:pPr>
            <w:r>
              <w:t xml:space="preserve">Svjetiljka za obilježavanje antenskog stuba</w:t>
            </w:r>
          </w:p>
        </w:tc>
        <w:tc>
          <w:tcPr/>
          <w:p>
            <w:pPr>
              <w:pStyle w:val="Compact"/>
            </w:pPr>
            <w:r>
              <w:t xml:space="preserve">LED za 48 V DC, niskog intenziteta, sa foto-senzorom i nadzorom ispada prema SMU, umjesto postojeće svjetiljke; ili postojeća svjetiljka preko DC/AC pretvarača ≤100 W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Vatrodojavna centrala</w:t>
            </w:r>
          </w:p>
        </w:tc>
        <w:tc>
          <w:tcPr/>
          <w:p>
            <w:pPr>
              <w:pStyle w:val="Compact"/>
            </w:pPr>
            <w:r>
              <w:t xml:space="preserve">preko DC/DC pretvarača na nazivni napon centrale; centrala zadržava vlastite akumulatore prema EN 54-4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Punjač akumulatora za start agregata</w:t>
            </w:r>
          </w:p>
        </w:tc>
        <w:tc>
          <w:tcPr/>
          <w:p>
            <w:pPr>
              <w:pStyle w:val="Compact"/>
            </w:pPr>
            <w:r>
              <w:t xml:space="preserve">DC/DC 48 V → 12/24 V prema agregatu, sa strujnim ograničenjem i signalizacijom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Ventilator prostora</w:t>
            </w:r>
          </w:p>
        </w:tc>
        <w:tc>
          <w:tcPr/>
          <w:p>
            <w:pPr>
              <w:pStyle w:val="Compact"/>
            </w:pPr>
            <w:r>
              <w:t xml:space="preserve">48 V DC (EC), Tačka 4.3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Predgrijač rashladne tečnosti agregata</w:t>
            </w:r>
          </w:p>
        </w:tc>
        <w:tc>
          <w:tcPr/>
          <w:p>
            <w:pPr>
              <w:pStyle w:val="Compact"/>
            </w:pPr>
            <w:r>
              <w:t xml:space="preserve">DC — direktno 48 V ili preko DC/DC odgovarajuće snage; uključuje ga kontroler agregata samo za kratko predgrijavanje prije starta pri niskoj temperaturi (Tačka 4.1), ne radi trajno; ≈0,1 kWh po startu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Rasvjeta kontejnera</w:t>
            </w:r>
          </w:p>
        </w:tc>
        <w:tc>
          <w:tcPr/>
          <w:p>
            <w:pPr>
              <w:pStyle w:val="Compact"/>
            </w:pPr>
            <w:r>
              <w:t xml:space="preserve">najmanje jedna LED svjetiljka 48 V DC sa prekidačem uz vrata — svjetlo i kad agregat ne radi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Ukupna trajna potrošnja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≤25 W prosječno</w:t>
            </w:r>
            <w:r>
              <w:t xml:space="preserve"> </w:t>
            </w:r>
            <w:r>
              <w:t xml:space="preserve">(bez rasvjete kontejnera, koja radi samo pri obilasku); Ponuđač dostavlja proračun potrošnje. Energetski bilans (Tačka 8) računa sa 45 W pomoćne potrošnje na −48 V: 20 W za SMU, BMS i ispravljače u mirovanju i 25 W za trajne potrošače</w:t>
            </w:r>
          </w:p>
        </w:tc>
      </w:tr>
    </w:tbl>
    <w:bookmarkEnd w:id="44"/>
    <w:bookmarkStart w:id="45" w:name="Xffc65aa8ef0639ad90862f5a47788725682a937"/>
    <w:p>
      <w:pPr>
        <w:pStyle w:val="Heading3"/>
      </w:pPr>
      <w:r>
        <w:t xml:space="preserve">4.6 Parametriranje upravljanja i nadzora (DEA + PV + baterije)</w:t>
      </w:r>
    </w:p>
    <w:p>
      <w:pPr>
        <w:pStyle w:val="Compact"/>
        <w:numPr>
          <w:ilvl w:val="0"/>
          <w:numId w:val="1003"/>
        </w:numPr>
      </w:pPr>
      <w:r>
        <w:t xml:space="preserve">start agregata prema</w:t>
      </w:r>
      <w:r>
        <w:t xml:space="preserve"> </w:t>
      </w:r>
      <w:r>
        <w:rPr>
          <w:b/>
          <w:bCs/>
        </w:rPr>
        <w:t xml:space="preserve">stanju napunjenosti baterija (SoC)</w:t>
      </w:r>
      <w:r>
        <w:t xml:space="preserve">, a ne prema ispadu mreže</w:t>
      </w:r>
      <w:r>
        <w:t xml:space="preserve"> </w:t>
      </w:r>
      <w:r>
        <w:t xml:space="preserve">— lokacije nemaju priključak EES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ograničenje ulazne snage ispravljačkog sistema na maks. 9,5 kW dok agregat radi.</w:t>
      </w:r>
      <w:r>
        <w:t xml:space="preserve"> </w:t>
      </w:r>
      <w:r>
        <w:t xml:space="preserve">Derativana prime snaga agregata je 11,6 kW na Sjednici i 12,3 kW na Hamzićima, a</w:t>
      </w:r>
      <w:r>
        <w:t xml:space="preserve"> </w:t>
      </w:r>
      <w:r>
        <w:t xml:space="preserve">neograničen ispravljački sistem vuče ≈12,5 kW. Granica ujedno drži agregat iznad 30 %</w:t>
      </w:r>
      <w:r>
        <w:t xml:space="preserve"> </w:t>
      </w:r>
      <w:r>
        <w:t xml:space="preserve">opterećenja i sprječava mokri rad motora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parametriranje SMU za minimalan rad agregata (OBAVEZNO)</w:t>
      </w:r>
      <w:r>
        <w:t xml:space="preserve"> </w:t>
      </w:r>
      <w:r>
        <w:t xml:space="preserve">— dokazuje se protokolom</w:t>
      </w:r>
      <w:r>
        <w:t xml:space="preserve"> </w:t>
      </w:r>
      <w:r>
        <w:t xml:space="preserve">iz Tačke 5, stavka 12:</w:t>
      </w:r>
    </w:p>
    <w:p>
      <w:pPr>
        <w:pStyle w:val="Compact"/>
        <w:numPr>
          <w:ilvl w:val="1"/>
          <w:numId w:val="1004"/>
        </w:numPr>
      </w:pPr>
      <w:r>
        <w:t xml:space="preserve">start agregata pri dubini pražnjenja baterija</w:t>
      </w:r>
      <w:r>
        <w:t xml:space="preserve"> </w:t>
      </w:r>
      <w:r>
        <w:rPr>
          <w:b/>
          <w:bCs/>
        </w:rPr>
        <w:t xml:space="preserve">DOD 85 %</w:t>
      </w:r>
      <w:r>
        <w:t xml:space="preserve"> </w:t>
      </w:r>
      <w:r>
        <w:t xml:space="preserve">(SoC 15 %)</w:t>
      </w:r>
    </w:p>
    <w:p>
      <w:pPr>
        <w:pStyle w:val="Compact"/>
        <w:numPr>
          <w:ilvl w:val="1"/>
          <w:numId w:val="1004"/>
        </w:numPr>
      </w:pPr>
      <w:r>
        <w:t xml:space="preserve">zaustavljanje agregata pri</w:t>
      </w:r>
      <w:r>
        <w:t xml:space="preserve"> </w:t>
      </w:r>
      <w:r>
        <w:rPr>
          <w:b/>
          <w:bCs/>
        </w:rPr>
        <w:t xml:space="preserve">SoC 60 %</w:t>
      </w:r>
      <w:r>
        <w:t xml:space="preserve"> </w:t>
      </w:r>
      <w:r>
        <w:t xml:space="preserve">— ostatak punjenja preuzima fotonaponsko</w:t>
      </w:r>
      <w:r>
        <w:t xml:space="preserve"> </w:t>
      </w:r>
      <w:r>
        <w:t xml:space="preserve">polje; punjenje baterija agregatom do vrha povećava rad agregata za 11–18 %</w:t>
      </w:r>
    </w:p>
    <w:p>
      <w:pPr>
        <w:pStyle w:val="Compact"/>
        <w:numPr>
          <w:ilvl w:val="1"/>
          <w:numId w:val="1004"/>
        </w:numPr>
      </w:pPr>
      <w:r>
        <w:t xml:space="preserve">struja punjenja baterija podešena tako da ne ograničava agregat ispod 9,5 kW: na</w:t>
      </w:r>
      <w:r>
        <w:t xml:space="preserve"> </w:t>
      </w:r>
      <w:r>
        <w:t xml:space="preserve">najveću vrijednost koju dozvoljava BMS baterijskih modula (proračun pretpostavlja</w:t>
      </w:r>
      <w:r>
        <w:t xml:space="preserve"> </w:t>
      </w:r>
      <w:r>
        <w:t xml:space="preserve">0,5 C), uz pisanu potvrdu proizvođača</w:t>
      </w:r>
    </w:p>
    <w:p>
      <w:pPr>
        <w:pStyle w:val="Compact"/>
        <w:numPr>
          <w:ilvl w:val="1"/>
          <w:numId w:val="1004"/>
        </w:numPr>
      </w:pPr>
      <w:r>
        <w:t xml:space="preserve">najkraće vrijeme rada agregata po startu</w:t>
      </w:r>
      <w:r>
        <w:t xml:space="preserve"> </w:t>
      </w:r>
      <w:r>
        <w:rPr>
          <w:b/>
          <w:bCs/>
        </w:rPr>
        <w:t xml:space="preserve">1 h</w:t>
      </w:r>
    </w:p>
    <w:p>
      <w:pPr>
        <w:pStyle w:val="Compact"/>
        <w:numPr>
          <w:ilvl w:val="0"/>
          <w:numId w:val="1003"/>
        </w:numPr>
      </w:pPr>
      <w:r>
        <w:t xml:space="preserve">prijenos alarma u sistem daljinskog nadzora: rad agregata, kvar, nivo goriva,</w:t>
      </w:r>
      <w:r>
        <w:t xml:space="preserve"> </w:t>
      </w:r>
      <w:r>
        <w:t xml:space="preserve">curenje goriva, požar, temperatura prostora</w:t>
      </w:r>
    </w:p>
    <w:p>
      <w:pPr>
        <w:pStyle w:val="Compact"/>
        <w:numPr>
          <w:ilvl w:val="0"/>
          <w:numId w:val="1003"/>
        </w:numPr>
      </w:pPr>
      <w:r>
        <w:t xml:space="preserve">upravljačka jedinica kompatibilna sa postojećim sistemom napajanja (modul GIM01C1,</w:t>
      </w:r>
      <w:r>
        <w:t xml:space="preserve"> </w:t>
      </w:r>
      <w:r>
        <w:t xml:space="preserve">AC ulazni modul AIU03)</w:t>
      </w:r>
    </w:p>
    <w:bookmarkEnd w:id="45"/>
    <w:bookmarkStart w:id="46" w:name="zaštita-od-požara"/>
    <w:p>
      <w:pPr>
        <w:pStyle w:val="Heading3"/>
      </w:pPr>
      <w:r>
        <w:t xml:space="preserve">4.7 Zaštita od požara</w:t>
      </w:r>
    </w:p>
    <w:p>
      <w:pPr>
        <w:pStyle w:val="Compact"/>
        <w:numPr>
          <w:ilvl w:val="0"/>
          <w:numId w:val="1005"/>
        </w:numPr>
      </w:pPr>
      <w:r>
        <w:t xml:space="preserve">elaborat zaštite od požara za prostor sa 500 l dizel goriva, za svaku lokaciju —</w:t>
      </w:r>
      <w:r>
        <w:t xml:space="preserve"> </w:t>
      </w:r>
      <w:r>
        <w:t xml:space="preserve">tokom primopredaje</w:t>
      </w:r>
    </w:p>
    <w:p>
      <w:pPr>
        <w:pStyle w:val="Compact"/>
        <w:numPr>
          <w:ilvl w:val="0"/>
          <w:numId w:val="1005"/>
        </w:numPr>
      </w:pPr>
      <w:r>
        <w:t xml:space="preserve">detekcija: dimni i termički detektori; detekcija CO i NO₂</w:t>
      </w:r>
    </w:p>
    <w:p>
      <w:pPr>
        <w:pStyle w:val="Compact"/>
        <w:numPr>
          <w:ilvl w:val="0"/>
          <w:numId w:val="1005"/>
        </w:numPr>
      </w:pPr>
      <w:r>
        <w:t xml:space="preserve">automatsko gašenje sredstvom za klasu B, sa</w:t>
      </w:r>
      <w:r>
        <w:t xml:space="preserve"> </w:t>
      </w:r>
      <w:r>
        <w:rPr>
          <w:b/>
          <w:bCs/>
        </w:rPr>
        <w:t xml:space="preserve">blokadom ventilacije pri aktivaciji</w:t>
      </w:r>
    </w:p>
    <w:p>
      <w:pPr>
        <w:pStyle w:val="Compact"/>
        <w:numPr>
          <w:ilvl w:val="0"/>
          <w:numId w:val="1005"/>
        </w:numPr>
      </w:pPr>
      <w:r>
        <w:t xml:space="preserve">protupožarni ventil na izlazu iz spremnika</w:t>
      </w:r>
    </w:p>
    <w:p>
      <w:pPr>
        <w:pStyle w:val="Compact"/>
        <w:numPr>
          <w:ilvl w:val="0"/>
          <w:numId w:val="1005"/>
        </w:numPr>
      </w:pPr>
      <w:r>
        <w:t xml:space="preserve">E-STOP izvan kontejnera pored ulaznih vrata, prema ISO 13850 kategorija 0</w:t>
      </w:r>
    </w:p>
    <w:p>
      <w:pPr>
        <w:pStyle w:val="Compact"/>
        <w:numPr>
          <w:ilvl w:val="0"/>
          <w:numId w:val="1005"/>
        </w:numPr>
      </w:pPr>
      <w:r>
        <w:t xml:space="preserve">oznake opasnosti, zabrana pušenja, oznaka kapaciteta goriva</w:t>
      </w:r>
    </w:p>
    <w:p>
      <w:pPr>
        <w:pStyle w:val="Compact"/>
        <w:numPr>
          <w:ilvl w:val="0"/>
          <w:numId w:val="1005"/>
        </w:numPr>
      </w:pPr>
      <w:r>
        <w:t xml:space="preserve">najmanje dva aparata za gašenje odgovarajuće klase</w:t>
      </w:r>
    </w:p>
    <w:p>
      <w:pPr>
        <w:pStyle w:val="FirstParagraph"/>
      </w:pPr>
      <w:r>
        <w:t xml:space="preserve">Elaborat zaštite od požara, protupožarni ventil na spremniku i blokada ventilacije pri</w:t>
      </w:r>
      <w:r>
        <w:t xml:space="preserve"> </w:t>
      </w:r>
      <w:r>
        <w:t xml:space="preserve">aktivaciji gašenja</w:t>
      </w:r>
      <w:r>
        <w:t xml:space="preserve"> </w:t>
      </w:r>
      <w:r>
        <w:rPr>
          <w:b/>
          <w:bCs/>
        </w:rPr>
        <w:t xml:space="preserve">zasebno su iskazani u Prilogu II</w:t>
      </w:r>
      <w:r>
        <w:t xml:space="preserve">.</w:t>
      </w:r>
    </w:p>
    <w:bookmarkEnd w:id="46"/>
    <w:bookmarkStart w:id="47" w:name="X5edf623f5b8f0b75cc78222c68af359e1c4d838"/>
    <w:p>
      <w:pPr>
        <w:pStyle w:val="Heading3"/>
      </w:pPr>
      <w:r>
        <w:t xml:space="preserve">4.8 Demontaža klima-uređaja Stulz — samo BS Hamzići</w:t>
      </w:r>
    </w:p>
    <w:p>
      <w:pPr>
        <w:pStyle w:val="Compact"/>
        <w:numPr>
          <w:ilvl w:val="0"/>
          <w:numId w:val="1006"/>
        </w:numPr>
      </w:pPr>
      <w:r>
        <w:t xml:space="preserve">postojeći kompaktni zidni klima-uređaj</w:t>
      </w:r>
      <w:r>
        <w:t xml:space="preserve"> </w:t>
      </w:r>
      <w:r>
        <w:rPr>
          <w:b/>
          <w:bCs/>
        </w:rPr>
        <w:t xml:space="preserve">Stulz WDE80</w:t>
      </w:r>
      <w:r>
        <w:t xml:space="preserve"> </w:t>
      </w:r>
      <w:r>
        <w:t xml:space="preserve">(8 kW, rashladni medij R407C) na</w:t>
      </w:r>
      <w:r>
        <w:t xml:space="preserve"> </w:t>
      </w:r>
      <w:r>
        <w:t xml:space="preserve">istočnom zidu kontejnera se odspaja (230 V AC, 48 V DC, signalizacija) i demontira</w:t>
      </w:r>
      <w:r>
        <w:t xml:space="preserve"> </w:t>
      </w:r>
      <w:r>
        <w:rPr>
          <w:b/>
          <w:bCs/>
        </w:rPr>
        <w:t xml:space="preserve">bez otvaranja rashladnog kruga</w:t>
      </w:r>
    </w:p>
    <w:p>
      <w:pPr>
        <w:pStyle w:val="Compact"/>
        <w:numPr>
          <w:ilvl w:val="0"/>
          <w:numId w:val="1006"/>
        </w:numPr>
      </w:pPr>
      <w:r>
        <w:t xml:space="preserve">uređaj se pakuje za transport, utovara i prevozi u skladište</w:t>
      </w:r>
      <w:r>
        <w:t xml:space="preserve"> </w:t>
      </w:r>
      <w:r>
        <w:rPr>
          <w:b/>
          <w:bCs/>
        </w:rPr>
        <w:t xml:space="preserve">BH Telecom d.d.,</w:t>
      </w:r>
      <w:r>
        <w:rPr>
          <w:b/>
          <w:bCs/>
        </w:rPr>
        <w:t xml:space="preserve"> </w:t>
      </w:r>
      <w:r>
        <w:rPr>
          <w:b/>
          <w:bCs/>
        </w:rPr>
        <w:t xml:space="preserve">Alipašino Polje, Sarajevo</w:t>
      </w:r>
      <w:r>
        <w:t xml:space="preserve">, uz istovar i</w:t>
      </w:r>
      <w:r>
        <w:t xml:space="preserve"> </w:t>
      </w:r>
      <w:r>
        <w:rPr>
          <w:b/>
          <w:bCs/>
        </w:rPr>
        <w:t xml:space="preserve">zapisnik o primopredaji</w:t>
      </w:r>
      <w:r>
        <w:t xml:space="preserve"> </w:t>
      </w:r>
      <w:r>
        <w:t xml:space="preserve">(tip, serijski</w:t>
      </w:r>
      <w:r>
        <w:t xml:space="preserve"> </w:t>
      </w:r>
      <w:r>
        <w:t xml:space="preserve">broj, stanje)</w:t>
      </w:r>
    </w:p>
    <w:p>
      <w:pPr>
        <w:pStyle w:val="Compact"/>
        <w:numPr>
          <w:ilvl w:val="0"/>
          <w:numId w:val="1006"/>
        </w:numPr>
      </w:pPr>
      <w:r>
        <w:t xml:space="preserve">otvori u zidu ostaju za izlaz toplog zraka agregata (Tačka 4.3.B); natpisnu pločicu i</w:t>
      </w:r>
      <w:r>
        <w:t xml:space="preserve"> </w:t>
      </w:r>
      <w:r>
        <w:t xml:space="preserve">mjere otvora Ponuđač očitava pri obilasku lokacije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dokazi-koji-se-dostavljaju"/>
    <w:p>
      <w:pPr>
        <w:pStyle w:val="Heading2"/>
      </w:pPr>
      <w:r>
        <w:t xml:space="preserve">5. Dokazi koji se dostavljaju</w:t>
      </w:r>
    </w:p>
    <w:p>
      <w:pPr>
        <w:pStyle w:val="FirstParagraph"/>
      </w:pPr>
      <w:r>
        <w:t xml:space="preserve">Dokazi koji se dostavljaju</w:t>
      </w:r>
      <w:r>
        <w:t xml:space="preserve"> </w:t>
      </w:r>
      <w:r>
        <w:rPr>
          <w:b/>
          <w:bCs/>
        </w:rPr>
        <w:t xml:space="preserve">uz ponudu</w:t>
      </w:r>
      <w:r>
        <w:t xml:space="preserve"> </w:t>
      </w:r>
      <w:r>
        <w:t xml:space="preserve">nose oznaku</w:t>
      </w:r>
      <w:r>
        <w:t xml:space="preserve"> </w:t>
      </w:r>
      <w:r>
        <w:rPr>
          <w:b/>
          <w:bCs/>
        </w:rPr>
        <w:t xml:space="preserve">PONUDA</w:t>
      </w:r>
      <w:r>
        <w:t xml:space="preserve">; dokazi koji se</w:t>
      </w:r>
      <w:r>
        <w:t xml:space="preserve"> </w:t>
      </w:r>
      <w:r>
        <w:t xml:space="preserve">dostavljaju</w:t>
      </w:r>
      <w:r>
        <w:t xml:space="preserve"> </w:t>
      </w:r>
      <w:r>
        <w:rPr>
          <w:b/>
          <w:bCs/>
        </w:rPr>
        <w:t xml:space="preserve">u toku realizacije</w:t>
      </w:r>
      <w:r>
        <w:t xml:space="preserve"> </w:t>
      </w:r>
      <w:r>
        <w:t xml:space="preserve">nose oznaku</w:t>
      </w:r>
      <w:r>
        <w:t xml:space="preserve"> </w:t>
      </w:r>
      <w:r>
        <w:rPr>
          <w:b/>
          <w:bCs/>
        </w:rPr>
        <w:t xml:space="preserve">REALIZACIJA</w:t>
      </w:r>
      <w:r>
        <w:t xml:space="preserve">; dokazi koji se</w:t>
      </w:r>
      <w:r>
        <w:t xml:space="preserve"> </w:t>
      </w:r>
      <w:r>
        <w:t xml:space="preserve">dostavljaju komisiji</w:t>
      </w:r>
      <w:r>
        <w:t xml:space="preserve"> </w:t>
      </w:r>
      <w:r>
        <w:rPr>
          <w:b/>
          <w:bCs/>
        </w:rPr>
        <w:t xml:space="preserve">tokom primopredaje</w:t>
      </w:r>
      <w:r>
        <w:t xml:space="preserve"> </w:t>
      </w:r>
      <w:r>
        <w:t xml:space="preserve">nose oznaku</w:t>
      </w:r>
      <w:r>
        <w:t xml:space="preserve"> </w:t>
      </w:r>
      <w:r>
        <w:rPr>
          <w:b/>
          <w:bCs/>
        </w:rPr>
        <w:t xml:space="preserve">PRIMOPREDAJA</w:t>
      </w:r>
      <w:r>
        <w:t xml:space="preserve">. Dokazi iz</w:t>
      </w:r>
      <w:r>
        <w:t xml:space="preserve"> </w:t>
      </w:r>
      <w:r>
        <w:t xml:space="preserve">realizacije i primopredaje dostavljaju se</w:t>
      </w:r>
      <w:r>
        <w:t xml:space="preserve"> </w:t>
      </w:r>
      <w:r>
        <w:rPr>
          <w:b/>
          <w:bCs/>
        </w:rPr>
        <w:t xml:space="preserve">za svaku lokaciju</w:t>
      </w:r>
      <w:r>
        <w:t xml:space="preserve">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674"/>
        <w:gridCol w:w="6071"/>
        <w:gridCol w:w="963"/>
        <w:gridCol w:w="193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Br.</w:t>
            </w:r>
          </w:p>
        </w:tc>
        <w:tc>
          <w:tcPr/>
          <w:p>
            <w:pPr>
              <w:pStyle w:val="Compact"/>
            </w:pPr>
            <w:r>
              <w:t xml:space="preserve">Dokaz</w:t>
            </w:r>
          </w:p>
        </w:tc>
        <w:tc>
          <w:tcPr/>
          <w:p>
            <w:pPr>
              <w:pStyle w:val="Compact"/>
            </w:pPr>
            <w:r>
              <w:t xml:space="preserve">LOT</w:t>
            </w:r>
          </w:p>
        </w:tc>
        <w:tc>
          <w:tcPr/>
          <w:p>
            <w:pPr>
              <w:pStyle w:val="Compact"/>
            </w:pPr>
            <w:r>
              <w:t xml:space="preserve">Oznaka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Statički proračun nosive konstrukcije i temelja za qp ≥ 1,20 kN/m² pri 45°, ovjeren i potpisan od ovlaštenog inženjera, sa dokazom na podizanje i prevrtanje — za obje lokacije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Tehnički nacrti konstrukcije i temelja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PONUDA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Izjava o svojstvima prema EN 1090-1 i klasa izvedbe EXC2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Atesti materijala (čelik) i potvrda o vrućem cinčanju (debljina sloja)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ETA certifikat i proračun za hemijska sidra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Zapisnik o ispitivanju ankera na čupanje (min. 10 %), po lokaciji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Tehnički list (TDS) agregata sa dokazom o PMG/AREP nezavisnoj pobudi (3 × In, ≥10 s)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PONUDA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Proračun pada pritiska ventilacije i protutlaka izduvnog sistema, po lokaciji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Elaborat zaštite od požara za prostor sa rezervoarom 500 l, po lokaciji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Atesti i certifikati za elektro opremu, CPR kablove i prenaponsku zaštitu (SPD)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Ispitni protokoli elektroinstalacija i otpora uzemljenja (≤10 Ω), po lokaciji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PRIMOPREDAJA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Protokol o parametriranju i funkcionalnom ispitivanju integracije DEA–PV–baterija, po lokaciji, uključujući postavljeno ograničenje od 9,5 kW, start pri DOD 85 %, stop pri SoC 60 %, struju punjenja uz potvrdu proizvođača baterija i najkraće vrijeme rada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PRIMOPREDAJA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Zapisnik o primopredaji demontiranog klima-uređaja Stulz WDE80 u skladištu Alipašino Polje (Hamzići)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REALIZACIJA</w:t>
            </w:r>
          </w:p>
        </w:tc>
      </w:tr>
    </w:tbl>
    <w:bookmarkEnd w:id="49"/>
    <w:bookmarkStart w:id="50" w:name="ispitivanja-i-puštanje-u-rad"/>
    <w:p>
      <w:pPr>
        <w:pStyle w:val="Heading2"/>
      </w:pPr>
      <w:r>
        <w:t xml:space="preserve">6. Ispitivanja i puštanje u rad</w:t>
      </w:r>
    </w:p>
    <w:p>
      <w:pPr>
        <w:pStyle w:val="FirstParagraph"/>
      </w:pPr>
      <w:r>
        <w:t xml:space="preserve">Ispitivanja se izvode</w:t>
      </w:r>
      <w:r>
        <w:t xml:space="preserve"> </w:t>
      </w:r>
      <w:r>
        <w:rPr>
          <w:b/>
          <w:bCs/>
        </w:rPr>
        <w:t xml:space="preserve">na svakoj lokaciji</w:t>
      </w:r>
      <w:r>
        <w:t xml:space="preserve">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3276"/>
        <w:gridCol w:w="6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Ispitivanje</w:t>
            </w:r>
          </w:p>
        </w:tc>
        <w:tc>
          <w:tcPr/>
          <w:p>
            <w:pPr>
              <w:pStyle w:val="Compact"/>
            </w:pPr>
            <w:r>
              <w:t xml:space="preserve">Kriterij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Otpor uzemljenja</w:t>
            </w:r>
          </w:p>
        </w:tc>
        <w:tc>
          <w:tcPr/>
          <w:p>
            <w:pPr>
              <w:pStyle w:val="Compact"/>
            </w:pPr>
            <w:r>
              <w:t xml:space="preserve">≤10 Ω</w:t>
            </w:r>
          </w:p>
        </w:tc>
      </w:tr>
      <w:tr>
        <w:tc>
          <w:tcPr/>
          <w:p>
            <w:pPr>
              <w:pStyle w:val="Compact"/>
            </w:pPr>
            <w:r>
              <w:t xml:space="preserve">Kontinuitet zaštitnih vodiča</w:t>
            </w:r>
          </w:p>
        </w:tc>
        <w:tc>
          <w:tcPr/>
          <w:p>
            <w:pPr>
              <w:pStyle w:val="Compact"/>
            </w:pPr>
            <w:r>
              <w:t xml:space="preserve">≤0,1 Ω po spoju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Ispitivanje čupanja ankera</w:t>
            </w:r>
          </w:p>
        </w:tc>
        <w:tc>
          <w:tcPr/>
          <w:p>
            <w:pPr>
              <w:pStyle w:val="Compact"/>
            </w:pPr>
            <w:r>
              <w:t xml:space="preserve">≥10 % ankera, do 1,5 × projektne sile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Funkcionalno ispitivanje RCD</w:t>
            </w:r>
          </w:p>
        </w:tc>
        <w:tc>
          <w:tcPr/>
          <w:p>
            <w:pPr>
              <w:pStyle w:val="Compact"/>
            </w:pPr>
            <w:r>
              <w:t xml:space="preserve">vrijeme i struja isključenja prema IEC 61008/61009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Ispitivanje ventilacije</w:t>
            </w:r>
          </w:p>
        </w:tc>
        <w:tc>
          <w:tcPr/>
          <w:p>
            <w:pPr>
              <w:pStyle w:val="Compact"/>
            </w:pPr>
            <w:r>
              <w:t xml:space="preserve">izmjereni pad pritiska ≤125 Pa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Funkcionalno ispitivanje agregata</w:t>
            </w:r>
          </w:p>
        </w:tc>
        <w:tc>
          <w:tcPr/>
          <w:p>
            <w:pPr>
              <w:pStyle w:val="Compact"/>
            </w:pPr>
            <w:r>
              <w:t xml:space="preserve">automatski start/stop, zaštite, alarmi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Probni rad</w:t>
            </w:r>
          </w:p>
        </w:tc>
        <w:tc>
          <w:tcPr/>
          <w:p>
            <w:pPr>
              <w:pStyle w:val="Compact"/>
            </w:pPr>
            <w:r>
              <w:t xml:space="preserve">72 h neprekidnog rada sa simulacijom opterećenja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Mjerenje temperature prostora</w:t>
            </w:r>
          </w:p>
        </w:tc>
        <w:tc>
          <w:tcPr/>
          <w:p>
            <w:pPr>
              <w:pStyle w:val="Compact"/>
            </w:pPr>
            <w:r>
              <w:t xml:space="preserve">pri radu agregata na nazivnom opterećenju</w:t>
            </w:r>
          </w:p>
        </w:tc>
      </w:tr>
    </w:tbl>
    <w:bookmarkEnd w:id="50"/>
    <w:bookmarkStart w:id="51" w:name="garancija"/>
    <w:p>
      <w:pPr>
        <w:pStyle w:val="Heading2"/>
      </w:pPr>
      <w:r>
        <w:t xml:space="preserve">7. Garancija</w:t>
      </w:r>
    </w:p>
    <w:p>
      <w:pPr>
        <w:pStyle w:val="Compact"/>
        <w:numPr>
          <w:ilvl w:val="0"/>
          <w:numId w:val="1007"/>
        </w:numPr>
      </w:pPr>
      <w:r>
        <w:t xml:space="preserve">garantni period minimalno</w:t>
      </w:r>
      <w:r>
        <w:t xml:space="preserve"> </w:t>
      </w:r>
      <w:r>
        <w:rPr>
          <w:b/>
          <w:bCs/>
        </w:rPr>
        <w:t xml:space="preserve">24 mjeseca</w:t>
      </w:r>
      <w:r>
        <w:t xml:space="preserve"> </w:t>
      </w:r>
      <w:r>
        <w:t xml:space="preserve">od zapisnika o primopredaji bez primjedbi</w:t>
      </w:r>
    </w:p>
    <w:p>
      <w:pPr>
        <w:pStyle w:val="Compact"/>
        <w:numPr>
          <w:ilvl w:val="0"/>
          <w:numId w:val="1007"/>
        </w:numPr>
      </w:pPr>
      <w:r>
        <w:t xml:space="preserve">postgarantni period minimalno</w:t>
      </w:r>
      <w:r>
        <w:t xml:space="preserve"> </w:t>
      </w:r>
      <w:r>
        <w:rPr>
          <w:b/>
          <w:bCs/>
        </w:rPr>
        <w:t xml:space="preserve">5 godina</w:t>
      </w:r>
    </w:p>
    <w:p>
      <w:pPr>
        <w:pStyle w:val="Compact"/>
        <w:numPr>
          <w:ilvl w:val="0"/>
          <w:numId w:val="1007"/>
        </w:numPr>
      </w:pPr>
      <w:r>
        <w:t xml:space="preserve">spisak preporučenih rezervnih dijelova za 500 h rada agregata, za svaku lokaciju</w:t>
      </w:r>
    </w:p>
    <w:p>
      <w:pPr>
        <w:pStyle w:val="Compact"/>
        <w:numPr>
          <w:ilvl w:val="0"/>
          <w:numId w:val="1007"/>
        </w:numPr>
      </w:pPr>
      <w:r>
        <w:t xml:space="preserve">dokumentacija izvedenog stanja i uputstva za pogon i održavanje, za svaku lokaciju</w:t>
      </w:r>
    </w:p>
    <w:p>
      <w:r>
        <w:pict>
          <v:rect style="width:0;height:1.5pt" o:hralign="center" o:hrstd="t" o:hr="t"/>
        </w:pict>
      </w:r>
    </w:p>
    <w:bookmarkEnd w:id="51"/>
    <w:bookmarkStart w:id="61" w:name="očekivani-energetski-bilans-informativno"/>
    <w:p>
      <w:pPr>
        <w:pStyle w:val="Heading2"/>
      </w:pPr>
      <w:r>
        <w:t xml:space="preserve">8. Očekivani energetski bilans (informativno)</w:t>
      </w:r>
    </w:p>
    <w:p>
      <w:pPr>
        <w:pStyle w:val="FirstParagraph"/>
      </w:pPr>
      <w:r>
        <w:t xml:space="preserve">Satna simulacija energetskog bilansa na −48 V DC sabirnici za 19 godina (2005–2023) za</w:t>
      </w:r>
      <w:r>
        <w:t xml:space="preserve"> </w:t>
      </w:r>
      <w:r>
        <w:t xml:space="preserve">svaku lokaciju: ozračenje iz PVGIS-SARAH3, FN lanac sa gubicima po komponentama</w:t>
      </w:r>
      <w:r>
        <w:t xml:space="preserve"> </w:t>
      </w:r>
      <w:r>
        <w:t xml:space="preserve">(uključujući krivulju efikasnosti iSSU S4875G2), baterije 48,6 kWh (6 × 150 Ah), pomoćnu</w:t>
      </w:r>
      <w:r>
        <w:t xml:space="preserve"> </w:t>
      </w:r>
      <w:r>
        <w:t xml:space="preserve">potrošnju od 45 W sa trajnim potrošačima iz Tačke 4.5 i agregat preko ispravljača</w:t>
      </w:r>
      <w:r>
        <w:t xml:space="preserve"> </w:t>
      </w:r>
      <w:r>
        <w:t xml:space="preserve">ograničenih na 9,5 kW, uz parametriranje SMU iz Tačke 4.6. Metoda, provjera</w:t>
      </w:r>
      <w:r>
        <w:t xml:space="preserve"> </w:t>
      </w:r>
      <w:r>
        <w:t xml:space="preserve">prema PVGIS-u, gubici i osjetljivost na postavke su u proračunima lokacija, dio A.6.</w:t>
      </w:r>
      <w:r>
        <w:t xml:space="preserve"> </w:t>
      </w:r>
      <w:r>
        <w:rPr>
          <w:b/>
          <w:bCs/>
        </w:rPr>
        <w:t xml:space="preserve">Vrijednosti su informativne i ne mijenjaju zahtjeve Tačaka 3 i 4.</w:t>
      </w:r>
    </w:p>
    <w:tbl>
      <w:tblPr>
        <w:tblStyle w:val="Table"/>
        <w:tblW w:type="dxa" w:w="9638"/>
        <w:tblLook w:firstRow="1" w:lastRow="0" w:firstColumn="0" w:lastColumn="0" w:noHBand="0" w:noVBand="0" w:val="0020"/>
      </w:tblPr>
      <w:tblGrid>
        <w:gridCol w:w="2505"/>
        <w:gridCol w:w="2891"/>
        <w:gridCol w:w="424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Pokazatelj</w:t>
            </w:r>
          </w:p>
        </w:tc>
        <w:tc>
          <w:tcPr/>
          <w:p>
            <w:pPr>
              <w:pStyle w:val="Compact"/>
            </w:pPr>
            <w:r>
              <w:t xml:space="preserve">BS Sjednica</w:t>
            </w:r>
          </w:p>
        </w:tc>
        <w:tc>
          <w:tcPr/>
          <w:p>
            <w:pPr>
              <w:pStyle w:val="Compact"/>
            </w:pPr>
            <w:r>
              <w:t xml:space="preserve">BS Hamzići</w:t>
            </w:r>
          </w:p>
        </w:tc>
      </w:tr>
      <w:tr>
        <w:tc>
          <w:tcPr/>
          <w:p>
            <w:pPr>
              <w:pStyle w:val="Compact"/>
            </w:pPr>
            <w:r>
              <w:t xml:space="preserve">FN proizvodnja na DC sabirnici</w:t>
            </w:r>
          </w:p>
        </w:tc>
        <w:tc>
          <w:tcPr/>
          <w:p>
            <w:pPr>
              <w:pStyle w:val="Compact"/>
            </w:pPr>
            <w:r>
              <w:t xml:space="preserve">≈10 140 kWh/god (1 444 kWh/kWp)</w:t>
            </w:r>
          </w:p>
        </w:tc>
        <w:tc>
          <w:tcPr/>
          <w:p>
            <w:pPr>
              <w:pStyle w:val="Compact"/>
            </w:pPr>
            <w:r>
              <w:t xml:space="preserve">≈10 450 kWh/god (1 488 kWh/kWp)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Potrošnja</w:t>
            </w:r>
          </w:p>
        </w:tc>
        <w:tc>
          <w:tcPr/>
          <w:p>
            <w:pPr>
              <w:pStyle w:val="Compact"/>
            </w:pPr>
            <w:r>
              <w:t xml:space="preserve">≈10 790 kWh/god</w:t>
            </w:r>
          </w:p>
        </w:tc>
        <w:tc>
          <w:tcPr/>
          <w:p>
            <w:pPr>
              <w:pStyle w:val="Compact"/>
            </w:pPr>
            <w:r>
              <w:t xml:space="preserve">≈10 860 kWh/god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Decembar: FN / potrošnja</w:t>
            </w:r>
          </w:p>
        </w:tc>
        <w:tc>
          <w:tcPr/>
          <w:p>
            <w:pPr>
              <w:pStyle w:val="Compact"/>
            </w:pPr>
            <w:r>
              <w:t xml:space="preserve">≈560 / ≈910 kWh</w:t>
            </w:r>
          </w:p>
        </w:tc>
        <w:tc>
          <w:tcPr/>
          <w:p>
            <w:pPr>
              <w:pStyle w:val="Compact"/>
            </w:pPr>
            <w:r>
              <w:t xml:space="preserve">≈600 / ≈910 kWh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Solarni udio u potrošnji</w:t>
            </w:r>
          </w:p>
        </w:tc>
        <w:tc>
          <w:tcPr/>
          <w:p>
            <w:pPr>
              <w:pStyle w:val="Compact"/>
            </w:pPr>
            <w:r>
              <w:t xml:space="preserve">79,2 %</w:t>
            </w:r>
          </w:p>
        </w:tc>
        <w:tc>
          <w:tcPr/>
          <w:p>
            <w:pPr>
              <w:pStyle w:val="Compact"/>
            </w:pPr>
            <w:r>
              <w:t xml:space="preserve">81,0 %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Rad agregata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≈250 h/god</w:t>
            </w:r>
            <w:r>
              <w:t xml:space="preserve">; u 9 od 10 godina do ≈310 h; najviše ≈330 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≈230 h/god</w:t>
            </w:r>
            <w:r>
              <w:t xml:space="preserve">; u 9 od 10 godina do ≈270 h; najviše ≈310 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Startova agregata</w:t>
            </w:r>
          </w:p>
        </w:tc>
        <w:tc>
          <w:tcPr/>
          <w:p>
            <w:pPr>
              <w:pStyle w:val="Compact"/>
            </w:pPr>
            <w:r>
              <w:t xml:space="preserve">≈90 godišnje, najviše ≈120</w:t>
            </w:r>
          </w:p>
        </w:tc>
        <w:tc>
          <w:tcPr/>
          <w:p>
            <w:pPr>
              <w:pStyle w:val="Compact"/>
            </w:pPr>
            <w:r>
              <w:t xml:space="preserve">≈80 godišnje, najviše ≈110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Potrošnja goriva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≈820 l/god</w:t>
            </w:r>
            <w:r>
              <w:t xml:space="preserve">; spremnik od 500 l dopunjava se dva puta godišnje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≈750 l/god</w:t>
            </w:r>
            <w:r>
              <w:t xml:space="preserve">; spremnik od 500 l dopunjava se dva puta godišnje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Nepokrivena potrošnja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Bez parametriranja iz Tačke 4.6 (zaustavljanje pri SoC 90 %, uobičajena struja</w:t>
      </w:r>
      <w:r>
        <w:t xml:space="preserve"> </w:t>
      </w:r>
      <w:r>
        <w:t xml:space="preserve">punjenja) agregat bi radio ≈280 h i trošio ≈910 l godišnje na Sjednici, odnosno ≈250 h</w:t>
      </w:r>
      <w:r>
        <w:t xml:space="preserve"> </w:t>
      </w:r>
      <w:r>
        <w:t xml:space="preserve">i ≈830 l na Hamzićima. Na Hamzićima vrijednosti važe bez zasjenjenja stablom; sa</w:t>
      </w:r>
      <w:r>
        <w:t xml:space="preserve"> </w:t>
      </w:r>
      <w:r>
        <w:t xml:space="preserve">stablom rad agregata raste za 5–23 h godišnje.</w:t>
      </w:r>
    </w:p>
    <w:p>
      <w:pPr>
        <w:pStyle w:val="CaptionedFigure"/>
      </w:pPr>
      <w:r>
        <w:drawing>
          <wp:inline>
            <wp:extent cx="5523978" cy="3006246"/>
            <wp:effectExtent b="0" l="0" r="0" t="0"/>
            <wp:docPr descr="Slika 7 — BS Sjednica: mjesečni energetski bilans (prosjek i raspon 2005–2023)" title="" id="53" name="Picture"/>
            <a:graphic>
              <a:graphicData uri="http://schemas.openxmlformats.org/drawingml/2006/picture">
                <pic:pic>
                  <pic:nvPicPr>
                    <pic:cNvPr descr="../TD-OUTPUT/grafika/prilog1/energetski-bilans-sjednica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978" cy="30062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7 — BS Sjednica: mjesečni energetski bilans (prosjek i raspon 2005–2023)</w:t>
      </w:r>
    </w:p>
    <w:p>
      <w:pPr>
        <w:pStyle w:val="CaptionedFigure"/>
      </w:pPr>
      <w:r>
        <w:drawing>
          <wp:inline>
            <wp:extent cx="5523978" cy="3027123"/>
            <wp:effectExtent b="0" l="0" r="0" t="0"/>
            <wp:docPr descr="Slika 8 — BS Hamzići: mjesečni energetski bilans (prosjek i raspon 2005–2023)" title="" id="56" name="Picture"/>
            <a:graphic>
              <a:graphicData uri="http://schemas.openxmlformats.org/drawingml/2006/picture">
                <pic:pic>
                  <pic:nvPicPr>
                    <pic:cNvPr descr="../TD-OUTPUT/grafika/prilog1/energetski-bilans-hamzici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3978" cy="3027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8 — BS Hamzići: mjesečni energetski bilans (prosjek i raspon 2005–2023)</w:t>
      </w:r>
    </w:p>
    <w:p>
      <w:pPr>
        <w:pStyle w:val="CaptionedFigure"/>
      </w:pPr>
      <w:r>
        <w:drawing>
          <wp:inline>
            <wp:extent cx="5382016" cy="2680569"/>
            <wp:effectExtent b="0" l="0" r="0" t="0"/>
            <wp:docPr descr="Slika 9 — BS Hamzići: horizont, putanje Sunca i stablo JJI–JI (procjena)" title="" id="59" name="Picture"/>
            <a:graphic>
              <a:graphicData uri="http://schemas.openxmlformats.org/drawingml/2006/picture">
                <pic:pic>
                  <pic:nvPicPr>
                    <pic:cNvPr descr="../TD-OUTPUT/grafika/prilog1/horizont-hamzici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2016" cy="26805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Slika 9 — BS Hamzići: horizont, putanje Sunca i stablo JJI–JI (procjena)</w:t>
      </w:r>
    </w:p>
    <w:bookmarkEnd w:id="61"/>
    <w:bookmarkEnd w:id="62"/>
    <w:sectPr>
      <w:pgSz w:h="16838" w:w="11906"/>
      <w:pgMar w:bottom="1134" w:footer="709" w:gutter="0" w:header="709" w:left="1134" w:right="1134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1"/>
        <w:szCs w:val="21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1"/>
      <w:szCs w:val="21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1"/>
      <w:szCs w:val="21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55" Target="media/rId55.png" /><Relationship Type="http://schemas.openxmlformats.org/officeDocument/2006/relationships/image" Id="rId52" Target="media/rId52.png" /><Relationship Type="http://schemas.openxmlformats.org/officeDocument/2006/relationships/image" Id="rId38" Target="media/rId38.png" /><Relationship Type="http://schemas.openxmlformats.org/officeDocument/2006/relationships/image" Id="rId58" Target="media/rId58.png" /><Relationship Type="http://schemas.openxmlformats.org/officeDocument/2006/relationships/image" Id="rId34" Target="media/rId34.png" /><Relationship Type="http://schemas.openxmlformats.org/officeDocument/2006/relationships/image" Id="rId27" Target="media/rId27.png" /><Relationship Type="http://schemas.openxmlformats.org/officeDocument/2006/relationships/image" Id="rId30" Target="media/rId3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2026-09-11T17:05:15Z</dcterms:created>
  <dcterms:modified xsi:type="dcterms:W3CDTF">2026-09-11T17:05:15Z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