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wmf" ContentType="image/x-wmf"/>
  <Override PartName="/word/media/image1.wmf" ContentType="image/x-wmf"/>
  <Override PartName="/word/media/image2.wmf" ContentType="image/x-wmf"/>
  <Override PartName="/word/media/image3.wmf" ContentType="image/x-wmf"/>
  <Override PartName="/word/media/image4.wmf" ContentType="image/x-wmf"/>
  <Override PartName="/word/media/image5.wmf" ContentType="image/x-wmf"/>
  <Override PartName="/word/media/image6.wmf" ContentType="image/x-wmf"/>
  <Override PartName="/word/media/image7.wmf" ContentType="image/x-wmf"/>
  <Override PartName="/word/media/image11.wmf" ContentType="image/x-wmf"/>
  <Override PartName="/word/media/image8.wmf" ContentType="image/x-wmf"/>
  <Override PartName="/word/media/image10.wmf" ContentType="image/x-wmf"/>
  <Override PartName="/word/media/image9.wmf" ContentType="image/x-wmf"/>
  <Override PartName="/word/media/image12.wmf" ContentType="image/x-wmf"/>
  <Override PartName="/word/media/image13.wmf" ContentType="image/x-wmf"/>
  <Override PartName="/word/media/image14.wmf" ContentType="image/x-wmf"/>
  <Override PartName="/word/media/image15.wmf" ContentType="image/x-wmf"/>
  <Override PartName="/word/media/image16.wmf" ContentType="image/x-wmf"/>
  <Override PartName="/word/media/image17.wmf" ContentType="image/x-wmf"/>
  <Override PartName="/word/media/image19.wmf" ContentType="image/x-wmf"/>
  <Override PartName="/word/media/image20.wmf" ContentType="image/x-wmf"/>
  <Override PartName="/word/media/image21.wmf" ContentType="image/x-wmf"/>
  <Override PartName="/word/media/image22.wmf" ContentType="image/x-wmf"/>
  <Override PartName="/word/media/image23.wmf" ContentType="image/x-wmf"/>
  <Override PartName="/word/media/image24.wmf" ContentType="image/x-wmf"/>
  <Override PartName="/word/media/image25.wmf" ContentType="image/x-wmf"/>
  <Override PartName="/word/media/image26.wmf" ContentType="image/x-wmf"/>
  <Override PartName="/word/media/image27.wmf" ContentType="image/x-wmf"/>
  <Override PartName="/word/media/image28.wmf" ContentType="image/x-wmf"/>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09"/>
          <w:tab w:val="left" w:pos="567" w:leader="none"/>
          <w:tab w:val="center" w:pos="4535" w:leader="none"/>
        </w:tabs>
        <w:jc w:val="both"/>
        <w:rPr>
          <w:rFonts w:ascii="Arial" w:hAnsi="Arial" w:cs="Arial"/>
          <w:sz w:val="21"/>
          <w:szCs w:val="21"/>
          <w:lang w:val="bs-BA"/>
        </w:rPr>
      </w:pPr>
      <w:r>
        <w:rPr>
          <w:rFonts w:cs="Arial" w:ascii="Arial" w:hAnsi="Arial"/>
          <w:b/>
          <w:sz w:val="21"/>
          <w:szCs w:val="21"/>
          <w:lang w:val="bs-BA"/>
        </w:rPr>
        <w:tab/>
      </w:r>
      <w:r>
        <w:rPr>
          <w:rFonts w:cs="Arial" w:ascii="Arial" w:hAnsi="Arial"/>
          <w:b/>
          <w:sz w:val="21"/>
          <w:szCs w:val="21"/>
          <w:highlight w:val="yellow"/>
          <w:lang w:val="bs-BA"/>
        </w:rPr>
        <w:t xml:space="preserve">_____.</w:t>
      </w:r>
      <w:r>
        <w:rPr>
          <w:rFonts w:cs="Arial" w:ascii="Arial" w:hAnsi="Arial"/>
          <w:b/>
          <w:sz w:val="21"/>
          <w:szCs w:val="21"/>
          <w:lang w:val="bs-BA"/>
        </w:rPr>
        <w:t xml:space="preserve"> SJEDNICA UPRAVE DIONIČKOG DRUŠTVA BH TELECOM SARAJEVO</w:t>
      </w:r>
    </w:p>
    <w:p>
      <w:pPr>
        <w:pStyle w:val="Normal"/>
        <w:jc w:val="both"/>
        <w:rPr>
          <w:rFonts w:ascii="Arial" w:hAnsi="Arial" w:cs="Arial"/>
          <w:b/>
          <w:sz w:val="21"/>
          <w:szCs w:val="21"/>
          <w:lang w:val="bs-BA"/>
        </w:rPr>
      </w:pPr>
      <w:r>
        <w:rPr>
          <w:rFonts w:cs="Arial" w:ascii="Arial" w:hAnsi="Arial"/>
          <w:b/>
          <w:sz w:val="21"/>
          <w:szCs w:val="21"/>
          <w:lang w:val="bs-BA"/>
        </w:rPr>
        <w:t xml:space="preserve">Predlagač/Izvjestilac: Izvršna direkcija za Investicije/</w:t>
      </w:r>
      <w:r>
        <w:rPr>
          <w:rFonts w:cs="Arial" w:ascii="Arial" w:hAnsi="Arial"/>
          <w:sz w:val="21"/>
          <w:szCs w:val="21"/>
          <w:lang w:val="bs-BA"/>
        </w:rPr>
        <w:t xml:space="preserve"> </w:t>
      </w:r>
      <w:r>
        <w:rPr>
          <w:rFonts w:cs="Arial" w:ascii="Arial" w:hAnsi="Arial"/>
          <w:b/>
          <w:sz w:val="21"/>
          <w:szCs w:val="21"/>
          <w:lang w:val="bs-BA"/>
        </w:rPr>
        <w:t xml:space="preserve">Izvršna direkcija za tehnologiju i razvoj servisa</w:t>
      </w:r>
    </w:p>
    <w:p>
      <w:pPr>
        <w:pStyle w:val="Default"/>
        <w:jc w:val="both"/>
        <w:rPr>
          <w:b/>
          <w:sz w:val="21"/>
          <w:szCs w:val="21"/>
        </w:rPr>
      </w:pPr>
      <w:r>
        <w:rPr>
          <w:b/>
          <w:sz w:val="21"/>
          <w:szCs w:val="21"/>
        </w:rPr>
        <w:t xml:space="preserve">Naslov: Prijedlog Odluke o odobrenju sredstava za nabavku „infrastruktura i instalacija opreme za autonomni hibridni sistem napajanja Sjednica, Bileća (LOT 1 i 2)“</w:t>
      </w:r>
    </w:p>
    <w:p>
      <w:pPr>
        <w:pStyle w:val="Default"/>
        <w:ind w:start="284"/>
        <w:rPr>
          <w:b/>
          <w:sz w:val="21"/>
          <w:szCs w:val="21"/>
        </w:rPr>
      </w:pPr>
      <w:r>
        <w:rPr>
          <w:b/>
          <w:sz w:val="21"/>
          <w:szCs w:val="21"/>
        </w:rPr>
      </w:r>
    </w:p>
    <w:p>
      <w:pPr>
        <w:pStyle w:val="Normal"/>
        <w:rPr>
          <w:rFonts w:ascii="Arial" w:hAnsi="Arial" w:cs="Arial"/>
          <w:b/>
          <w:sz w:val="21"/>
          <w:szCs w:val="21"/>
          <w:lang w:val="bs-BA"/>
        </w:rPr>
      </w:pPr>
      <w:r>
        <w:rPr>
          <w:rFonts w:cs="Arial" w:ascii="Arial" w:hAnsi="Arial"/>
          <w:b/>
          <w:sz w:val="21"/>
          <w:szCs w:val="21"/>
          <w:lang w:val="bs-BA"/>
        </w:rPr>
        <w:t xml:space="preserve">Dokument za:</w:t>
      </w:r>
    </w:p>
    <w:p>
      <w:pPr>
        <w:pStyle w:val="Normal"/>
        <w:rPr>
          <w:rFonts w:ascii="Arial" w:hAnsi="Arial" w:cs="Arial"/>
          <w:b/>
          <w:sz w:val="21"/>
          <w:szCs w:val="21"/>
          <w:lang w:val="bs-BA"/>
        </w:rPr>
      </w:pPr>
      <w:r>
        <w:rPr>
          <w:rFonts w:cs="Arial" w:ascii="Arial" w:hAnsi="Arial"/>
          <w:b/>
          <w:sz w:val="21"/>
          <w:szCs w:val="21"/>
          <w:lang w:val="bs-BA"/>
        </w:rPr>
        <w:t xml:space="preserve">  </w:t>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1" name=""/>
                <a:graphic xmlns:a="http://schemas.openxmlformats.org/drawingml/2006/main">
                  <a:graphicData uri="http://schemas.openxmlformats.org/drawingml/2006/picture">
                    <pic:pic xmlns:pic="http://schemas.openxmlformats.org/drawingml/2006/picture">
                      <pic:nvPicPr>
                        <pic:cNvPr id="2" name=""/>
                        <pic:cNvPicPr/>
                      </pic:nvPicPr>
                      <pic:blipFill>
                        <a:blip r:embed="rId2"/>
                        <a:stretch/>
                      </pic:blipFill>
                      <pic:spPr>
                        <a:xfrm>
                          <a:off x="0" y="0"/>
                          <a:ext cx="1371600" cy="25920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20.45pt;width:107.95pt;height:20.35pt;mso-wrap-style:none;v-text-anchor:middle;mso-position-vertical:top" type="_x0000_t75">
                <v:imagedata r:id="rId3" o:detectmouseclick="t"/>
                <v:stroke color="#3465a4" joinstyle="round" endcap="flat"/>
                <w10:wrap type="none"/>
              </v:shape>
            </w:pict>
          </mc:Fallback>
        </mc:AlternateContent>
      </w:r>
      <w:r>
        <w:rPr>
          <w:rFonts w:cs="Arial" w:ascii="Arial" w:hAnsi="Arial"/>
          <w:b/>
          <w:sz w:val="21"/>
          <w:szCs w:val="21"/>
          <w:lang w:val="bs-BA"/>
        </w:rPr>
        <w:t xml:space="preserve">  </w:t>
      </w:r>
      <w:r>
        <w:rPr/>
        <mc:AlternateContent>
          <mc:Choice Requires="wps">
            <w:drawing>
              <wp:inline distT="0" distB="0" distL="0" distR="0">
                <wp:extent cx="1371600" cy="259080"/>
                <wp:effectExtent l="0" t="0" r="0" b="0"/>
                <wp:docPr id="3" name=""/>
                <a:graphic xmlns:a="http://schemas.openxmlformats.org/drawingml/2006/main">
                  <a:graphicData uri="http://schemas.openxmlformats.org/drawingml/2006/picture">
                    <pic:pic xmlns:pic="http://schemas.openxmlformats.org/drawingml/2006/picture">
                      <pic:nvPicPr>
                        <pic:cNvPr id="4" name=""/>
                        <pic:cNvPicPr/>
                      </pic:nvPicPr>
                      <pic:blipFill>
                        <a:blip r:embed="rId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5"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5" name=""/>
                <a:graphic xmlns:a="http://schemas.openxmlformats.org/drawingml/2006/main">
                  <a:graphicData uri="http://schemas.openxmlformats.org/drawingml/2006/picture">
                    <pic:pic xmlns:pic="http://schemas.openxmlformats.org/drawingml/2006/picture">
                      <pic:nvPicPr>
                        <pic:cNvPr id="6" name=""/>
                        <pic:cNvPicPr/>
                      </pic:nvPicPr>
                      <pic:blipFill>
                        <a:blip r:embed="rId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7" name=""/>
                <a:graphic xmlns:a="http://schemas.openxmlformats.org/drawingml/2006/main">
                  <a:graphicData uri="http://schemas.openxmlformats.org/drawingml/2006/picture">
                    <pic:pic xmlns:pic="http://schemas.openxmlformats.org/drawingml/2006/picture">
                      <pic:nvPicPr>
                        <pic:cNvPr id="8" name=""/>
                        <pic:cNvPicPr/>
                      </pic:nvPicPr>
                      <pic:blipFill>
                        <a:blip r:embed="rId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9"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t xml:space="preserve">Vrijeme potrebno za prezentaciju/diskusiju:</w: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9" name=""/>
                <a:graphic xmlns:a="http://schemas.openxmlformats.org/drawingml/2006/main">
                  <a:graphicData uri="http://schemas.openxmlformats.org/drawingml/2006/picture">
                    <pic:pic xmlns:pic="http://schemas.openxmlformats.org/drawingml/2006/picture">
                      <pic:nvPicPr>
                        <pic:cNvPr id="10" name=""/>
                        <pic:cNvPicPr/>
                      </pic:nvPicPr>
                      <pic:blipFill>
                        <a:blip r:embed="rId10"/>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1"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1" name=""/>
                <a:graphic xmlns:a="http://schemas.openxmlformats.org/drawingml/2006/main">
                  <a:graphicData uri="http://schemas.openxmlformats.org/drawingml/2006/picture">
                    <pic:pic xmlns:pic="http://schemas.openxmlformats.org/drawingml/2006/picture">
                      <pic:nvPicPr>
                        <pic:cNvPr id="12" name=""/>
                        <pic:cNvPicPr/>
                      </pic:nvPicPr>
                      <pic:blipFill>
                        <a:blip r:embed="rId12"/>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3"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3" name=""/>
                <a:graphic xmlns:a="http://schemas.openxmlformats.org/drawingml/2006/main">
                  <a:graphicData uri="http://schemas.openxmlformats.org/drawingml/2006/picture">
                    <pic:pic xmlns:pic="http://schemas.openxmlformats.org/drawingml/2006/picture">
                      <pic:nvPicPr>
                        <pic:cNvPr id="14" name=""/>
                        <pic:cNvPicPr/>
                      </pic:nvPicPr>
                      <pic:blipFill>
                        <a:blip r:embed="rId1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5"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sz w:val="21"/>
          <w:szCs w:val="21"/>
          <w:lang w:val="bs-BA"/>
        </w:rPr>
      </w:pPr>
      <w:r>
        <w:rPr>
          <w:rFonts w:cs="Arial" w:ascii="Arial" w:hAnsi="Arial"/>
          <w:b/>
          <w:sz w:val="21"/>
          <w:szCs w:val="21"/>
          <w:lang w:val="bs-BA"/>
        </w:rPr>
        <w:t xml:space="preserve">Osnov za izradu materijala:</w:t>
      </w:r>
    </w:p>
    <w:p>
      <w:pPr>
        <w:pStyle w:val="Normal"/>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109220" distR="0" simplePos="0" relativeHeight="9" behindDoc="0" locked="0" layoutInCell="0" allowOverlap="1" wp14:anchorId="72BCDF3A">
                <wp:simplePos x="0" y="0"/>
                <wp:positionH relativeFrom="margin">
                  <wp:align>right</wp:align>
                </wp:positionH>
                <wp:positionV relativeFrom="paragraph">
                  <wp:posOffset>220345</wp:posOffset>
                </wp:positionV>
                <wp:extent cx="5913755" cy="2895600"/>
                <wp:effectExtent l="5715" t="5080" r="4445" b="5080"/>
                <wp:wrapSquare wrapText="bothSides"/>
                <wp:docPr id="15" name="Text Box 2"/>
                <a:graphic xmlns:a="http://schemas.openxmlformats.org/drawingml/2006/main">
                  <a:graphicData uri="http://schemas.microsoft.com/office/word/2010/wordprocessingShape">
                    <wps:wsp>
                      <wps:cNvSpPr/>
                      <wps:spPr>
                        <a:xfrm>
                          <a:off x="0" y="0"/>
                          <a:ext cx="5913720" cy="2895480"/>
                        </a:xfrm>
                        <a:prstGeom prst="rect">
                          <a:avLst/>
                        </a:prstGeom>
                        <a:solidFill>
                          <a:srgbClr val="FFFFFF"/>
                        </a:solidFill>
                        <a:ln w="9525">
                          <a:solidFill>
                            <a:srgbClr val="000000"/>
                          </a:solidFill>
                          <a:miter/>
                        </a:ln>
                      </wps:spPr>
                      <wps:style>
                        <a:lnRef idx="0"/>
                        <a:fillRef idx="0"/>
                        <a:effectRef idx="0"/>
                        <a:fontRef idx="minor"/>
                      </wps:style>
                      <wps:txb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wps:txbx>
                      <wps:bodyPr anchor="t" upright="1">
                        <a:noAutofit/>
                      </wps:bodyPr>
                    </wps:wsp>
                  </a:graphicData>
                </a:graphic>
              </wp:anchor>
            </w:drawing>
          </mc:Choice>
          <mc:Fallback>
            <w:pict>
              <v:rect id="shape_0" fillcolor="white" stroked="t" o:allowincell="f" style="position:absolute;margin-left:16.2pt;margin-top:17.35pt;width:465.6pt;height:227.95pt;mso-wrap-style:square;v-text-anchor:top;mso-position-horizontal:right;mso-position-horizontal-relative:margin" wp14:anchorId="72BCDF3A">
                <v:fill o:detectmouseclick="t" type="solid" color2="black"/>
                <v:stroke color="black" weight="9360" joinstyle="miter" endcap="flat"/>
                <v:textbo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v:textbox>
                <w10:wrap type="square"/>
              </v:rect>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tabs>
          <w:tab w:val="clear" w:pos="709"/>
          <w:tab w:val="left" w:pos="426" w:leader="none"/>
        </w:tabs>
        <w:rPr>
          <w:rFonts w:ascii="Arial" w:hAnsi="Arial" w:cs="Arial"/>
          <w:b/>
          <w:sz w:val="21"/>
          <w:szCs w:val="21"/>
          <w:lang w:val="bs-BA"/>
        </w:rPr>
      </w:pPr>
      <w:r>
        <mc:AlternateContent>
          <mc:Choice Requires="wps">
            <w:drawing>
              <wp:anchor distT="40640" distB="59690" distL="109220" distR="0" simplePos="0" relativeHeight="16" behindDoc="0" locked="0" layoutInCell="0" allowOverlap="1" wp14:anchorId="0E418064">
                <wp:simplePos x="0" y="0"/>
                <wp:positionH relativeFrom="margin">
                  <wp:align>right</wp:align>
                </wp:positionH>
                <wp:positionV relativeFrom="paragraph">
                  <wp:posOffset>223520</wp:posOffset>
                </wp:positionV>
                <wp:extent cx="5905500" cy="2514600"/>
                <wp:effectExtent l="5080" t="5080" r="5080" b="5080"/>
                <wp:wrapSquare wrapText="bothSides"/>
                <wp:docPr id="16" name="Text Box 2"/>
                <a:graphic xmlns:a="http://schemas.openxmlformats.org/drawingml/2006/main">
                  <a:graphicData uri="http://schemas.microsoft.com/office/word/2010/wordprocessingShape">
                    <wps:wsp>
                      <wps:cNvSpPr/>
                      <wps:spPr>
                        <a:xfrm>
                          <a:off x="0" y="0"/>
                          <a:ext cx="5905440" cy="25146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uppressAutoHyphens w:val="false"/>
                              <w:jc w:val="both"/>
                              <w:rPr>
                                <w:rFonts w:ascii="Arial" w:hAnsi="Arial" w:cs="Arial"/>
                                <w:color w:val="000000"/>
                                <w:sz w:val="22"/>
                                <w:szCs w:val="22"/>
                              </w:rPr>
                            </w:pPr>
                            <w:bookmarkStart w:id="0" w:name="_Hlk93048456"/>
                            <w:r>
                              <w:rPr>
                                <w:rFonts w:cs="Arial"/>
                                <w:color w:val="000000"/>
                                <w:sz w:val="22"/>
                                <w:szCs w:val="22"/>
                              </w:rPr>
                              <w:t xml:space="preserve">Sredstva za realizaciju ove Odluke predviđena su </w:t>
                            </w:r>
                            <w:bookmarkEnd w:id="0"/>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50.000,00 KM (pedesethiljada konvertibilnih maraka) bez PDV-a, od čega LOT 1 — 15.000,00 KM i LOT 2 — 35.000,00 KM. Sredstva su finansijski raspoloživa u toku poslovne 2026. godine. Rok realizacije Odluke je 31.12.2027. godine.</w:t>
                            </w:r>
                            <w:bookmarkStart w:id="1" w:name="_Hlk93048488"/>
                            <w:bookmarkEnd w:id="1"/>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16.85pt;margin-top:17.6pt;width:464.95pt;height:197.95pt;mso-wrap-style:square;v-text-anchor:top;mso-position-horizontal:right;mso-position-horizontal-relative:margin" wp14:anchorId="0E418064">
                <v:fill o:detectmouseclick="t" type="solid" color2="black"/>
                <v:stroke color="black" weight="9360" joinstyle="miter" endcap="flat"/>
                <v:textbox>
                  <w:txbxContent>
                    <w:p>
                      <w:pPr>
                        <w:pStyle w:val="FrameContents"/>
                        <w:suppressAutoHyphens w:val="false"/>
                        <w:jc w:val="both"/>
                        <w:rPr>
                          <w:rFonts w:ascii="Arial" w:hAnsi="Arial" w:cs="Arial"/>
                          <w:color w:val="000000"/>
                          <w:sz w:val="22"/>
                          <w:szCs w:val="22"/>
                        </w:rPr>
                      </w:pPr>
                      <w:bookmarkStart w:id="2" w:name="_Hlk93048456"/>
                      <w:r>
                        <w:rPr>
                          <w:rFonts w:cs="Arial"/>
                          <w:color w:val="000000"/>
                          <w:sz w:val="22"/>
                          <w:szCs w:val="22"/>
                        </w:rPr>
                        <w:t xml:space="preserve">Sredstva za realizaciju ove Odluke predviđena su </w:t>
                      </w:r>
                      <w:bookmarkEnd w:id="2"/>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50.000,00 KM (pedesethiljada konvertibilnih maraka) bez PDV-a, od čega LOT 1 — 15.000,00 KM i LOT 2 — 35.000,00 KM. Sredstva su finansijski raspoloživa u toku poslovne 2026. godine. Rok realizacije Odluke je 31.12.2027. godine.</w:t>
                      </w:r>
                      <w:bookmarkStart w:id="3" w:name="_Hlk93048488"/>
                      <w:bookmarkEnd w:id="3"/>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v:textbox>
                <w10:wrap type="square"/>
              </v:rect>
            </w:pict>
          </mc:Fallback>
        </mc:AlternateContent>
      </w:r>
      <w:r>
        <w:rPr>
          <w:rFonts w:cs="Arial" w:ascii="Arial" w:hAnsi="Arial"/>
          <w:b/>
          <w:sz w:val="21"/>
          <w:szCs w:val="21"/>
          <w:lang w:val="bs-BA"/>
        </w:rPr>
        <w:t xml:space="preserve">Dosadašnje aktivnosti:</w:t>
      </w:r>
    </w:p>
    <w:p>
      <w:pPr>
        <w:pStyle w:val="Normal"/>
        <w:suppressAutoHyphens w:val="false"/>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Forma prijedloga za usvajanje:</w: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sz w:val="21"/>
          <w:szCs w:val="21"/>
          <w:lang w:val="bs-BA" w:eastAsia="hr-HR"/>
        </w:rPr>
      </w:pPr>
      <w:r>
        <mc:AlternateContent>
          <mc:Choice Requires="wps">
            <w:drawing>
              <wp:anchor distT="40005" distB="60325" distL="0" distR="135890" simplePos="0" relativeHeight="12" behindDoc="0" locked="0" layoutInCell="0" allowOverlap="1" wp14:anchorId="1C38EDFC">
                <wp:simplePos x="0" y="0"/>
                <wp:positionH relativeFrom="margin">
                  <wp:align>left</wp:align>
                </wp:positionH>
                <wp:positionV relativeFrom="paragraph">
                  <wp:posOffset>342900</wp:posOffset>
                </wp:positionV>
                <wp:extent cx="6108065" cy="628650"/>
                <wp:effectExtent l="5715" t="5080" r="4445" b="5080"/>
                <wp:wrapSquare wrapText="bothSides"/>
                <wp:docPr id="17" name="Text Box 2"/>
                <a:graphic xmlns:a="http://schemas.openxmlformats.org/drawingml/2006/main">
                  <a:graphicData uri="http://schemas.microsoft.com/office/word/2010/wordprocessingShape">
                    <wps:wsp>
                      <wps:cNvSpPr/>
                      <wps:spPr>
                        <a:xfrm>
                          <a:off x="0" y="0"/>
                          <a:ext cx="6108120" cy="628560"/>
                        </a:xfrm>
                        <a:prstGeom prst="rect">
                          <a:avLst/>
                        </a:prstGeom>
                        <a:solidFill>
                          <a:srgbClr val="FFFFFF"/>
                        </a:solidFill>
                        <a:ln w="9525">
                          <a:solidFill>
                            <a:srgbClr val="000000"/>
                          </a:solidFill>
                          <a:miter/>
                        </a:ln>
                      </wps:spPr>
                      <wps:style>
                        <a:lnRef idx="0"/>
                        <a:fillRef idx="0"/>
                        <a:effectRef idx="0"/>
                        <a:fontRef idx="minor"/>
                      </wps:style>
                      <wps:txbx>
                        <w:txbxContent>
                          <w:p>
                            <w:pPr>
                              <w:pStyle w:val="Default"/>
                              <w:rPr>
                                <w:b/>
                                <w:sz w:val="22"/>
                                <w:szCs w:val="22"/>
                                <w:lang w:val="en-US"/>
                              </w:rPr>
                            </w:pPr>
                            <w:r>
                              <w:rPr>
                                <w:b/>
                                <w:sz w:val="22"/>
                                <w:szCs w:val="22"/>
                              </w:rPr>
                              <w:t xml:space="preserve">Usvaja se Odluka o odobrenju sredstava za nabavku autonomnog hibridnog sistema napajanja na baznoj stanici Sjednica (Bileća)</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wps:txbx>
                      <wps:bodyPr anchor="t">
                        <a:noAutofit/>
                      </wps:bodyPr>
                    </wps:wsp>
                  </a:graphicData>
                </a:graphic>
              </wp:anchor>
            </w:drawing>
          </mc:Choice>
          <mc:Fallback>
            <w:pict>
              <v:rect id="shape_0" fillcolor="white" stroked="t" o:allowincell="f" style="position:absolute;margin-left:0pt;margin-top:27pt;width:480.9pt;height:49.45pt;mso-wrap-style:square;v-text-anchor:top;mso-position-horizontal:left;mso-position-horizontal-relative:margin" wp14:anchorId="1C38EDFC">
                <v:fill o:detectmouseclick="t" type="solid" color2="black"/>
                <v:stroke color="black" weight="9360" joinstyle="miter" endcap="flat"/>
                <v:textbox>
                  <w:txbxContent>
                    <w:p>
                      <w:pPr>
                        <w:pStyle w:val="Default"/>
                        <w:rPr>
                          <w:b/>
                          <w:sz w:val="22"/>
                          <w:szCs w:val="22"/>
                          <w:lang w:val="en-US"/>
                        </w:rPr>
                      </w:pPr>
                      <w:r>
                        <w:rPr>
                          <w:b/>
                          <w:sz w:val="22"/>
                          <w:szCs w:val="22"/>
                        </w:rPr>
                        <w:t xml:space="preserve">Usvaja se Odluka o odobrenju sredstava za nabavku autonomnog hibridnog sistema napajanja na baznoj stanici Sjednica (Bileća)</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v:textbox>
                <w10:wrap type="square"/>
              </v:rect>
            </w:pict>
          </mc:Fallback>
        </mc:AlternateContent>
      </w:r>
      <w:r>
        <w:rPr/>
        <mc:AlternateContent>
          <mc:Choice Requires="wps">
            <w:drawing>
              <wp:inline distT="0" distB="0" distL="0" distR="0">
                <wp:extent cx="1173480" cy="259080"/>
                <wp:effectExtent l="0" t="0" r="0" b="0"/>
                <wp:docPr id="18" name=""/>
                <a:graphic xmlns:a="http://schemas.openxmlformats.org/drawingml/2006/main">
                  <a:graphicData uri="http://schemas.openxmlformats.org/drawingml/2006/picture">
                    <pic:pic xmlns:pic="http://schemas.openxmlformats.org/drawingml/2006/picture">
                      <pic:nvPicPr>
                        <pic:cNvPr id="19" name=""/>
                        <pic:cNvPicPr/>
                      </pic:nvPicPr>
                      <pic:blipFill>
                        <a:blip r:embed="rId16"/>
                        <a:stretch/>
                      </pic:blipFill>
                      <pic:spPr>
                        <a:xfrm>
                          <a:off x="0" y="0"/>
                          <a:ext cx="1173600" cy="259200"/>
                        </a:xfrm>
                        <a:prstGeom prst="rect">
                          <a:avLst/>
                        </a:prstGeom>
                        <a:noFill/>
                        <a:ln w="0">
                          <a:noFill/>
                        </a:ln>
                      </pic:spPr>
                    </pic:pic>
                  </a:graphicData>
                </a:graphic>
              </wp:inline>
            </w:drawing>
          </mc:Choice>
          <mc:Fallback>
            <w:pict>
              <v:shape id="shape_0" stroked="f" o:allowincell="f" style="position:absolute;margin-left:0pt;margin-top:-20.45pt;width:92.35pt;height:20.35pt;mso-wrap-style:none;v-text-anchor:middle;mso-position-vertical:top" type="_x0000_t75">
                <v:imagedata r:id="rId17" o:detectmouseclick="t"/>
                <v:stroke color="#3465a4" joinstyle="round" endcap="flat"/>
                <w10:wrap type="none"/>
              </v:shape>
            </w:pict>
          </mc:Fallback>
        </mc:AlternateContent>
      </w:r>
      <w:r>
        <w:rPr/>
        <mc:AlternateContent>
          <mc:Choice Requires="wps">
            <w:drawing>
              <wp:inline distT="0" distB="0" distL="0" distR="0">
                <wp:extent cx="1198880" cy="259080"/>
                <wp:effectExtent l="0" t="0" r="0" b="0"/>
                <wp:docPr id="20" name=""/>
                <a:graphic xmlns:a="http://schemas.openxmlformats.org/drawingml/2006/main">
                  <a:graphicData uri="http://schemas.openxmlformats.org/drawingml/2006/picture">
                    <pic:pic xmlns:pic="http://schemas.openxmlformats.org/drawingml/2006/picture">
                      <pic:nvPicPr>
                        <pic:cNvPr id="21" name=""/>
                        <pic:cNvPicPr/>
                      </pic:nvPicPr>
                      <pic:blipFill>
                        <a:blip r:embed="rId18"/>
                        <a:stretch/>
                      </pic:blipFill>
                      <pic:spPr>
                        <a:xfrm>
                          <a:off x="0" y="0"/>
                          <a:ext cx="1198800" cy="259200"/>
                        </a:xfrm>
                        <a:prstGeom prst="rect">
                          <a:avLst/>
                        </a:prstGeom>
                        <a:noFill/>
                        <a:ln w="0">
                          <a:noFill/>
                        </a:ln>
                      </pic:spPr>
                    </pic:pic>
                  </a:graphicData>
                </a:graphic>
              </wp:inline>
            </w:drawing>
          </mc:Choice>
          <mc:Fallback>
            <w:pict>
              <v:shape id="shape_0" stroked="f" o:allowincell="f" style="position:absolute;margin-left:0pt;margin-top:-20.45pt;width:94.35pt;height:20.35pt;mso-wrap-style:none;v-text-anchor:middle;mso-position-vertical:top" type="_x0000_t75">
                <v:imagedata r:id="rId19" o:detectmouseclick="t"/>
                <v:stroke color="#3465a4" joinstyle="round" endcap="flat"/>
                <w10:wrap type="none"/>
              </v:shape>
            </w:pict>
          </mc:Fallback>
        </mc:AlternateContent>
      </w:r>
      <w:r>
        <w:rPr/>
        <mc:AlternateContent>
          <mc:Choice Requires="wps">
            <w:drawing>
              <wp:inline distT="0" distB="0" distL="0" distR="0">
                <wp:extent cx="1224915" cy="259080"/>
                <wp:effectExtent l="0" t="0" r="0" b="0"/>
                <wp:docPr id="22" name=""/>
                <a:graphic xmlns:a="http://schemas.openxmlformats.org/drawingml/2006/main">
                  <a:graphicData uri="http://schemas.openxmlformats.org/drawingml/2006/picture">
                    <pic:pic xmlns:pic="http://schemas.openxmlformats.org/drawingml/2006/picture">
                      <pic:nvPicPr>
                        <pic:cNvPr id="23" name=""/>
                        <pic:cNvPicPr/>
                      </pic:nvPicPr>
                      <pic:blipFill>
                        <a:blip r:embed="rId20"/>
                        <a:stretch/>
                      </pic:blipFill>
                      <pic:spPr>
                        <a:xfrm>
                          <a:off x="0" y="0"/>
                          <a:ext cx="1225080" cy="259200"/>
                        </a:xfrm>
                        <a:prstGeom prst="rect">
                          <a:avLst/>
                        </a:prstGeom>
                        <a:noFill/>
                        <a:ln w="0">
                          <a:noFill/>
                        </a:ln>
                      </pic:spPr>
                    </pic:pic>
                  </a:graphicData>
                </a:graphic>
              </wp:inline>
            </w:drawing>
          </mc:Choice>
          <mc:Fallback>
            <w:pict>
              <v:shape id="shape_0" stroked="f" o:allowincell="f" style="position:absolute;margin-left:0pt;margin-top:-20.45pt;width:96.4pt;height:20.35pt;mso-wrap-style:none;v-text-anchor:middle;mso-position-vertical:top" type="_x0000_t75">
                <v:imagedata r:id="rId21" o:detectmouseclick="t"/>
                <v:stroke color="#3465a4" joinstyle="round" endcap="flat"/>
                <w10:wrap type="none"/>
              </v:shape>
            </w:pict>
          </mc:Fallback>
        </mc:AlternateContent>
      </w:r>
      <w:r>
        <w:rPr/>
        <mc:AlternateContent>
          <mc:Choice Requires="wps">
            <w:drawing>
              <wp:inline distT="0" distB="0" distL="0" distR="0">
                <wp:extent cx="1207770" cy="259080"/>
                <wp:effectExtent l="0" t="0" r="0" b="0"/>
                <wp:docPr id="24" name=""/>
                <a:graphic xmlns:a="http://schemas.openxmlformats.org/drawingml/2006/main">
                  <a:graphicData uri="http://schemas.openxmlformats.org/drawingml/2006/picture">
                    <pic:pic xmlns:pic="http://schemas.openxmlformats.org/drawingml/2006/picture">
                      <pic:nvPicPr>
                        <pic:cNvPr id="25" name=""/>
                        <pic:cNvPicPr/>
                      </pic:nvPicPr>
                      <pic:blipFill>
                        <a:blip r:embed="rId22"/>
                        <a:stretch/>
                      </pic:blipFill>
                      <pic:spPr>
                        <a:xfrm>
                          <a:off x="0" y="0"/>
                          <a:ext cx="1207800" cy="259200"/>
                        </a:xfrm>
                        <a:prstGeom prst="rect">
                          <a:avLst/>
                        </a:prstGeom>
                        <a:noFill/>
                        <a:ln w="0">
                          <a:noFill/>
                        </a:ln>
                      </pic:spPr>
                    </pic:pic>
                  </a:graphicData>
                </a:graphic>
              </wp:inline>
            </w:drawing>
          </mc:Choice>
          <mc:Fallback>
            <w:pict>
              <v:shape id="shape_0" stroked="f" o:allowincell="f" style="position:absolute;margin-left:0pt;margin-top:-20.45pt;width:95.05pt;height:20.35pt;mso-wrap-style:none;v-text-anchor:middle;mso-position-vertical:top" type="_x0000_t75">
                <v:imagedata r:id="rId23" o:detectmouseclick="t"/>
                <v:stroke color="#3465a4" joinstyle="round" endcap="flat"/>
                <w10:wrap type="none"/>
              </v:shape>
            </w:pict>
          </mc:Fallback>
        </mc:AlternateContent>
      </w:r>
      <w:r>
        <w:rPr/>
        <mc:AlternateContent>
          <mc:Choice Requires="wps">
            <w:drawing>
              <wp:inline distT="0" distB="0" distL="0" distR="0">
                <wp:extent cx="819785" cy="259080"/>
                <wp:effectExtent l="0" t="0" r="0" b="0"/>
                <wp:docPr id="26" name=""/>
                <a:graphic xmlns:a="http://schemas.openxmlformats.org/drawingml/2006/main">
                  <a:graphicData uri="http://schemas.openxmlformats.org/drawingml/2006/picture">
                    <pic:pic xmlns:pic="http://schemas.openxmlformats.org/drawingml/2006/picture">
                      <pic:nvPicPr>
                        <pic:cNvPr id="27" name=""/>
                        <pic:cNvPicPr/>
                      </pic:nvPicPr>
                      <pic:blipFill>
                        <a:blip r:embed="rId24"/>
                        <a:stretch/>
                      </pic:blipFill>
                      <pic:spPr>
                        <a:xfrm>
                          <a:off x="0" y="0"/>
                          <a:ext cx="819720" cy="259200"/>
                        </a:xfrm>
                        <a:prstGeom prst="rect">
                          <a:avLst/>
                        </a:prstGeom>
                        <a:noFill/>
                        <a:ln w="0">
                          <a:noFill/>
                        </a:ln>
                      </pic:spPr>
                    </pic:pic>
                  </a:graphicData>
                </a:graphic>
              </wp:inline>
            </w:drawing>
          </mc:Choice>
          <mc:Fallback>
            <w:pict>
              <v:shape id="shape_0" stroked="f" o:allowincell="f" style="position:absolute;margin-left:0pt;margin-top:-20.45pt;width:64.5pt;height:20.35pt;mso-wrap-style:none;v-text-anchor:middle;mso-position-vertical:top" type="_x0000_t75">
                <v:imagedata r:id="rId25" o:detectmouseclick="t"/>
                <v:stroke color="#3465a4" joinstyle="round" endcap="flat"/>
                <w10:wrap type="none"/>
              </v:shape>
            </w:pict>
          </mc:Fallback>
        </mc:AlternateConten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Mjera unaprjeđenja:</w:t>
      </w:r>
    </w:p>
    <w:p>
      <w:pPr>
        <w:pStyle w:val="Normal"/>
        <w:suppressAutoHyphens w:val="false"/>
        <w:rPr>
          <w:rFonts w:ascii="Arial" w:hAnsi="Arial" w:cs="Arial"/>
          <w:sz w:val="21"/>
          <w:szCs w:val="21"/>
          <w:lang w:val="bs-BA" w:eastAsia="hr-HR"/>
        </w:rPr>
      </w:pPr>
      <w:r>
        <w:rPr/>
        <mc:AlternateContent>
          <mc:Choice Requires="wps">
            <w:drawing>
              <wp:inline distT="0" distB="0" distL="0" distR="0">
                <wp:extent cx="1371600" cy="259080"/>
                <wp:effectExtent l="0" t="0" r="0" b="0"/>
                <wp:docPr id="28" name=""/>
                <a:graphic xmlns:a="http://schemas.openxmlformats.org/drawingml/2006/main">
                  <a:graphicData uri="http://schemas.openxmlformats.org/drawingml/2006/picture">
                    <pic:pic xmlns:pic="http://schemas.openxmlformats.org/drawingml/2006/picture">
                      <pic:nvPicPr>
                        <pic:cNvPr id="29" name=""/>
                        <pic:cNvPicPr/>
                      </pic:nvPicPr>
                      <pic:blipFill>
                        <a:blip r:embed="rId2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30" name=""/>
                <a:graphic xmlns:a="http://schemas.openxmlformats.org/drawingml/2006/main">
                  <a:graphicData uri="http://schemas.openxmlformats.org/drawingml/2006/picture">
                    <pic:pic xmlns:pic="http://schemas.openxmlformats.org/drawingml/2006/picture">
                      <pic:nvPicPr>
                        <pic:cNvPr id="31" name=""/>
                        <pic:cNvPicPr/>
                      </pic:nvPicPr>
                      <pic:blipFill>
                        <a:blip r:embed="rId2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9" o:detectmouseclick="t"/>
                <v:stroke color="#3465a4" joinstyle="round" endcap="flat"/>
                <w10:wrap type="none"/>
              </v:shape>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rPr>
          <w:rFonts w:ascii="Arial" w:hAnsi="Arial" w:cs="Arial"/>
          <w:b/>
          <w:sz w:val="21"/>
          <w:szCs w:val="21"/>
          <w:lang w:val="bs-BA"/>
        </w:rPr>
      </w:pPr>
      <w:r>
        <w:rPr>
          <w:rFonts w:cs="Arial" w:ascii="Arial" w:hAnsi="Arial"/>
          <w:b/>
          <w:sz w:val="21"/>
          <w:szCs w:val="21"/>
          <w:lang w:val="bs-BA"/>
        </w:rPr>
        <w:t xml:space="preserve">Obrazloženje neodložnosti i hitnosti dopune dnevnog reda: </w:t>
      </w:r>
    </w:p>
    <w:p>
      <w:pPr>
        <w:pStyle w:val="Normal"/>
        <w:tabs>
          <w:tab w:val="clear" w:pos="709"/>
          <w:tab w:val="left" w:pos="1080" w:leader="none"/>
        </w:tabs>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0" distR="135890" simplePos="0" relativeHeight="14" behindDoc="0" locked="0" layoutInCell="0" allowOverlap="1" wp14:anchorId="4DDA1D6C">
                <wp:simplePos x="0" y="0"/>
                <wp:positionH relativeFrom="margin">
                  <wp:align>left</wp:align>
                </wp:positionH>
                <wp:positionV relativeFrom="paragraph">
                  <wp:posOffset>210820</wp:posOffset>
                </wp:positionV>
                <wp:extent cx="6108065" cy="495300"/>
                <wp:effectExtent l="5715" t="5080" r="4445" b="5080"/>
                <wp:wrapSquare wrapText="bothSides"/>
                <wp:docPr id="32" name="Text Box 2"/>
                <a:graphic xmlns:a="http://schemas.openxmlformats.org/drawingml/2006/main">
                  <a:graphicData uri="http://schemas.microsoft.com/office/word/2010/wordprocessingShape">
                    <wps:wsp>
                      <wps:cNvSpPr/>
                      <wps:spPr>
                        <a:xfrm>
                          <a:off x="0" y="0"/>
                          <a:ext cx="61081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0pt;margin-top:16.6pt;width:480.9pt;height:38.95pt;mso-wrap-style:none;v-text-anchor:middle;mso-position-horizontal:left;mso-position-horizontal-relative:margin" wp14:anchorId="4DDA1D6C">
                <v:fill o:detectmouseclick="t" type="solid" color2="black"/>
                <v:stroke color="black" weight="9360" joinstyle="miter" endcap="flat"/>
                <v:textbox>
                  <w:txbxContent>
                    <w:p>
                      <w:pPr>
                        <w:pStyle w:val="FrameContents"/>
                        <w:rPr>
                          <w:rFonts w:ascii="Arial" w:hAnsi="Arial" w:cs="Arial"/>
                          <w:i/>
                          <w:sz w:val="22"/>
                          <w:lang w:val="bs-BA"/>
                        </w:rPr>
                      </w:pPr>
                      <w:r>
                        <w:rPr/>
                      </w:r>
                    </w:p>
                  </w:txbxContent>
                </v:textbox>
                <w10:wrap type="square"/>
              </v:rect>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t xml:space="preserve">Prilozi materijala:</w: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1 - Prijedlog Odluke, broj:  06.1.1.1-14-</w:t>
      </w:r>
      <w:bookmarkStart w:id="4" w:name="_Hlk106351001"/>
      <w:r>
        <w:rPr>
          <w:rFonts w:cs="Arial" w:ascii="Arial" w:hAnsi="Arial"/>
          <w:sz w:val="21"/>
          <w:szCs w:val="21"/>
          <w:highlight w:val="yellow"/>
          <w:lang w:val="bs-BA" w:eastAsia="hr-HR"/>
        </w:rPr>
        <w:t xml:space="preserve">_______</w:t>
      </w:r>
      <w:r>
        <w:rPr>
          <w:rFonts w:cs="Arial" w:ascii="Arial" w:hAnsi="Arial"/>
          <w:sz w:val="21"/>
          <w:szCs w:val="21"/>
          <w:lang w:val="bs-BA" w:eastAsia="hr-HR"/>
        </w:rPr>
        <w:t xml:space="preserve">/</w:t>
      </w:r>
      <w:bookmarkEnd w:id="4"/>
      <w:r>
        <w:rPr>
          <w:rFonts w:cs="Arial" w:ascii="Arial" w:hAnsi="Arial"/>
          <w:sz w:val="21"/>
          <w:szCs w:val="21"/>
          <w:lang w:val="bs-BA" w:eastAsia="hr-HR"/>
        </w:rPr>
        <w:t xml:space="preserve">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2 - Obrazloženje, broj: 04.5.1-14-</w:t>
      </w:r>
      <w:r>
        <w:rPr>
          <w:rFonts w:cs="Arial" w:ascii="Arial" w:hAnsi="Arial"/>
          <w:sz w:val="21"/>
          <w:szCs w:val="21"/>
          <w:highlight w:val="yellow"/>
          <w:lang w:val="bs-BA" w:eastAsia="hr-HR"/>
        </w:rPr>
        <w:t xml:space="preserve">_________- </w:t>
      </w:r>
      <w:r>
        <w:rPr>
          <w:rFonts w:cs="Arial" w:ascii="Arial" w:hAnsi="Arial"/>
          <w:sz w:val="21"/>
          <w:szCs w:val="21"/>
          <w:lang w:val="bs-BA" w:eastAsia="hr-HR"/>
        </w:rPr>
        <w:t xml:space="preserve">1/26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rPr>
        <w:t xml:space="preserve">Aneks 3 – </w:t>
      </w:r>
      <w:r>
        <w:rPr>
          <w:rFonts w:cs="Arial" w:ascii="Arial" w:hAnsi="Arial"/>
          <w:sz w:val="21"/>
          <w:szCs w:val="21"/>
          <w:highlight w:val="yellow"/>
          <w:lang w:val="bs-BA"/>
        </w:rPr>
        <w:t xml:space="preserve">Potvrda o izvršenoj reviziji </w:t>
      </w:r>
      <w:r>
        <w:rPr>
          <w:rFonts w:cs="Arial" w:ascii="Arial" w:hAnsi="Arial"/>
          <w:color w:val="000000"/>
          <w:sz w:val="21"/>
          <w:szCs w:val="21"/>
          <w:highlight w:val="yellow"/>
          <w:lang w:val="bs-BA"/>
        </w:rPr>
        <w:t xml:space="preserve">broj: ......................... od ........................ godine</w:t>
      </w:r>
    </w:p>
    <w:p>
      <w:pPr>
        <w:pStyle w:val="BodyText"/>
        <w:jc w:val="start"/>
        <w:rPr>
          <w:sz w:val="21"/>
          <w:szCs w:val="21"/>
          <w:lang w:val="bs-BA"/>
        </w:rPr>
      </w:pPr>
      <w:r>
        <w:rPr>
          <w:sz w:val="21"/>
          <w:szCs w:val="21"/>
          <w:lang w:val="bs-BA"/>
        </w:rPr>
      </w:r>
    </w:p>
    <w:p>
      <w:pPr>
        <w:pStyle w:val="Normal"/>
        <w:rPr>
          <w:rFonts w:ascii="Arial" w:hAnsi="Arial" w:cs="Arial"/>
          <w:b/>
          <w:sz w:val="21"/>
          <w:szCs w:val="21"/>
          <w:lang w:val="bs-BA"/>
        </w:rPr>
      </w:pPr>
      <w:r>
        <w:rPr>
          <w:rFonts w:cs="Arial" w:ascii="Arial" w:hAnsi="Arial"/>
          <w:sz w:val="21"/>
          <w:szCs w:val="21"/>
          <w:lang w:val="bs-BA" w:eastAsia="bs-BA"/>
        </w:rPr>
        <w:t xml:space="preserve">                                                                               </w: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Normal"/>
        <w:tabs>
          <w:tab w:val="clear" w:pos="709"/>
          <w:tab w:val="left" w:pos="1080" w:leader="none"/>
        </w:tabs>
        <w:spacing w:before="0" w:after="0"/>
        <w:rPr>
          <w:rFonts w:ascii="Arial" w:hAnsi="Arial" w:eastAsia="Arial" w:cs="Arial"/>
          <w:b/>
          <w:sz w:val="21"/>
          <w:szCs w:val="21"/>
          <w:lang w:val="bs-BA"/>
        </w:rPr>
      </w:pPr>
      <w:r>
        <w:rPr>
          <w:rFonts w:cs="Arial" w:ascii="Arial" w:hAnsi="Arial"/>
          <w:b/>
          <w:sz w:val="21"/>
          <w:szCs w:val="21"/>
          <w:lang w:val="bs-BA"/>
        </w:rPr>
        <w:t xml:space="preserve">DIONIČKO DRUŠTVO BH TELECOM</w:t>
      </w:r>
    </w:p>
    <w:p>
      <w:pPr>
        <w:pStyle w:val="Normal"/>
        <w:rPr>
          <w:rFonts w:ascii="Arial" w:hAnsi="Arial" w:cs="Arial"/>
          <w:sz w:val="21"/>
          <w:szCs w:val="21"/>
          <w:lang w:val="bs-BA"/>
        </w:rPr>
      </w:pPr>
      <w:r>
        <w:rPr>
          <w:rFonts w:eastAsia="Arial" w:cs="Arial" w:ascii="Arial" w:hAnsi="Arial"/>
          <w:b/>
          <w:spacing w:val="24"/>
          <w:sz w:val="21"/>
          <w:szCs w:val="21"/>
          <w:lang w:val="bs-BA"/>
        </w:rPr>
        <w:t xml:space="preserve">         </w:t>
      </w:r>
      <w:r>
        <w:rPr>
          <w:rFonts w:cs="Arial" w:ascii="Arial" w:hAnsi="Arial"/>
          <w:b/>
          <w:spacing w:val="24"/>
          <w:sz w:val="21"/>
          <w:szCs w:val="21"/>
          <w:lang w:val="bs-BA"/>
        </w:rPr>
        <w:t xml:space="preserve">SARAJEVO</w:t>
      </w:r>
    </w:p>
    <w:p>
      <w:pPr>
        <w:pStyle w:val="Normal"/>
        <w:rPr>
          <w:rFonts w:ascii="Arial" w:hAnsi="Arial" w:cs="Arial"/>
          <w:sz w:val="21"/>
          <w:szCs w:val="21"/>
          <w:lang w:val="bs-BA"/>
        </w:rPr>
      </w:pPr>
      <w:r>
        <w:rPr>
          <w:rFonts w:cs="Arial" w:ascii="Arial" w:hAnsi="Arial"/>
          <w:b/>
          <w:sz w:val="21"/>
          <w:szCs w:val="21"/>
          <w:lang w:val="bs-BA"/>
        </w:rPr>
        <w:t xml:space="preserve">IZVRŠNA DIREKCIJA ZA INVESTICIJE </w:t>
      </w:r>
    </w:p>
    <w:p>
      <w:pPr>
        <w:pStyle w:val="Normal"/>
        <w:jc w:val="both"/>
        <w:rPr>
          <w:rFonts w:ascii="Arial" w:hAnsi="Arial" w:cs="Arial"/>
          <w:sz w:val="21"/>
          <w:szCs w:val="21"/>
          <w:lang w:val="bs-BA"/>
        </w:rPr>
      </w:pPr>
      <w:r>
        <w:rPr>
          <w:rFonts w:cs="Arial" w:ascii="Arial" w:hAnsi="Arial"/>
          <w:b/>
          <w:sz w:val="21"/>
          <w:szCs w:val="21"/>
          <w:lang w:val="bs-BA"/>
        </w:rPr>
        <w:t xml:space="preserve">Broj: 06.1.1.1-14- </w:t>
      </w:r>
      <w:r>
        <w:rPr>
          <w:rFonts w:cs="Arial" w:ascii="Arial" w:hAnsi="Arial"/>
          <w:b/>
          <w:sz w:val="21"/>
          <w:szCs w:val="21"/>
          <w:highlight w:val="yellow"/>
          <w:lang w:val="bs-BA"/>
        </w:rPr>
        <w:t xml:space="preserve">____________</w:t>
      </w:r>
      <w:r>
        <w:rPr>
          <w:rFonts w:cs="Arial" w:ascii="Arial" w:hAnsi="Arial"/>
          <w:b/>
          <w:sz w:val="21"/>
          <w:szCs w:val="21"/>
          <w:lang w:val="bs-BA"/>
        </w:rPr>
        <w:t xml:space="preserve">//26 </w:t>
      </w:r>
    </w:p>
    <w:p>
      <w:pPr>
        <w:pStyle w:val="Normal"/>
        <w:jc w:val="both"/>
        <w:rPr>
          <w:rFonts w:ascii="Arial" w:hAnsi="Arial" w:cs="Arial"/>
          <w:b/>
          <w:sz w:val="21"/>
          <w:szCs w:val="21"/>
          <w:lang w:val="bs-BA"/>
        </w:rPr>
      </w:pPr>
      <w:r>
        <w:rPr>
          <w:rFonts w:cs="Arial" w:ascii="Arial" w:hAnsi="Arial"/>
          <w:b/>
          <w:sz w:val="21"/>
          <w:szCs w:val="21"/>
          <w:lang w:val="bs-BA"/>
        </w:rPr>
        <w:t xml:space="preserve">Sarajevo, </w:t>
      </w:r>
      <w:r>
        <w:rPr>
          <w:rFonts w:cs="Arial" w:ascii="Arial" w:hAnsi="Arial"/>
          <w:b/>
          <w:sz w:val="21"/>
          <w:szCs w:val="21"/>
          <w:highlight w:val="yellow"/>
          <w:lang w:val="bs-BA"/>
        </w:rPr>
        <w:t xml:space="preserve">___.__</w:t>
      </w:r>
      <w:r>
        <w:rPr>
          <w:rFonts w:cs="Arial" w:ascii="Arial" w:hAnsi="Arial"/>
          <w:b/>
          <w:sz w:val="21"/>
          <w:szCs w:val="21"/>
          <w:lang w:val="bs-BA"/>
        </w:rPr>
        <w:t xml:space="preserve">.2026. godin</w:t>
      </w:r>
    </w:p>
    <w:p>
      <w:pPr>
        <w:pStyle w:val="Normal"/>
        <w:jc w:val="center"/>
        <w:rPr>
          <w:rFonts w:ascii="Arial" w:hAnsi="Arial" w:cs="Arial"/>
          <w:sz w:val="21"/>
          <w:szCs w:val="21"/>
          <w:lang w:val="bs-BA"/>
        </w:rPr>
      </w:pPr>
      <w:r>
        <w:rPr>
          <w:rFonts w:cs="Arial" w:ascii="Arial" w:hAnsi="Arial"/>
          <w:b/>
          <w:sz w:val="21"/>
          <w:szCs w:val="21"/>
          <w:lang w:val="bs-BA"/>
        </w:rPr>
        <w:t xml:space="preserve">ANEKS 1</w:t>
      </w:r>
    </w:p>
    <w:p>
      <w:pPr>
        <w:pStyle w:val="Normal"/>
        <w:jc w:val="both"/>
        <w:rPr>
          <w:rFonts w:ascii="Arial" w:hAnsi="Arial" w:cs="Arial"/>
          <w:sz w:val="21"/>
          <w:szCs w:val="21"/>
          <w:lang w:val="bs-BA"/>
        </w:rPr>
      </w:pPr>
      <w:bookmarkStart w:id="5" w:name="_Hlk45694051"/>
      <w:r>
        <w:rPr>
          <w:rFonts w:cs="Arial" w:ascii="Arial" w:hAnsi="Arial"/>
          <w:sz w:val="21"/>
          <w:szCs w:val="21"/>
          <w:lang w:val="bs-BA"/>
        </w:rPr>
        <w:t xml:space="preserve">Na osnovu člana 85. stav (1) tačka f) Statuta Dioničkog Društva BH Telecom Sarajevo, broj: 00.1-03-17072/20-10 od 29.06.2020. godine, člana 13. stav (1) Uputstva o primjeni i provođenju Pravilnika o nabavkama broj: 00.1-14-30750/22-5 od 06.04.2022.godine, člana 19. Pravilnika o pripremi, planiranju, realizaciji i kolaudaciji investicija Dioničkog Društva BH Telecom Sarajevo, broj: 00.1–2.1–19720/16-10 od 11.01.2017. godine, te u skladu sa članom 7. Poslovnika o radu Uprave Društva broj: 00.1-1.1-3579/15-2 od 25.06.2015. godine i broj: 00.1-1.1-7096/17-2 od 10.07.2017.godine, Izvršni direktor ID za investicije Upravi Društva na razmatranje dostavlja:</w:t>
      </w:r>
      <w:bookmarkEnd w:id="5"/>
    </w:p>
    <w:p>
      <w:pPr>
        <w:pStyle w:val="Normal"/>
        <w:jc w:val="center"/>
        <w:rPr>
          <w:rFonts w:ascii="Arial" w:hAnsi="Arial" w:cs="Arial"/>
          <w:b/>
          <w:color w:val="000000"/>
          <w:sz w:val="21"/>
          <w:szCs w:val="21"/>
          <w:lang w:val="bs-BA" w:eastAsia="bs-BA"/>
        </w:rPr>
      </w:pPr>
      <w:r>
        <w:rPr>
          <w:rFonts w:cs="Arial" w:ascii="Arial" w:hAnsi="Arial"/>
          <w:b/>
          <w:color w:val="000000"/>
          <w:sz w:val="21"/>
          <w:szCs w:val="21"/>
          <w:lang w:val="bs-BA" w:eastAsia="bs-BA"/>
        </w:rPr>
        <w:t xml:space="preserve">P  R  I   J E  D  L  O  G    O  D  L  U  K  E</w:t>
      </w:r>
    </w:p>
    <w:p>
      <w:pPr>
        <w:pStyle w:val="Normal"/>
        <w:jc w:val="center"/>
        <w:rPr>
          <w:rFonts w:ascii="Arial" w:hAnsi="Arial" w:cs="Arial"/>
          <w:b/>
          <w:caps/>
          <w:sz w:val="21"/>
          <w:szCs w:val="21"/>
          <w:lang w:val="bs-BA"/>
        </w:rPr>
      </w:pPr>
      <w:r>
        <w:rPr>
          <w:rFonts w:cs="Arial" w:ascii="Arial" w:hAnsi="Arial"/>
          <w:b/>
          <w:caps/>
          <w:sz w:val="21"/>
          <w:szCs w:val="21"/>
          <w:lang w:val="bs-BA"/>
        </w:rPr>
        <w:t xml:space="preserve">O ODOBRENJU SREDSTAVA ZA NABAVKU AUTONOMNOG HIBRIDNOG SISTEMA NAPAJANJA NA BAZNOJ STANICI SJEDNICA (BILEĆA)</w:t>
      </w:r>
    </w:p>
    <w:p>
      <w:pPr>
        <w:pStyle w:val="Normal"/>
        <w:jc w:val="center"/>
        <w:rPr>
          <w:rFonts w:ascii="Arial" w:hAnsi="Arial" w:cs="Arial"/>
          <w:b/>
          <w:caps/>
          <w:sz w:val="21"/>
          <w:szCs w:val="21"/>
          <w:lang w:val="bs-BA"/>
        </w:rPr>
      </w:pPr>
      <w:r>
        <w:rPr>
          <w:rFonts w:cs="Arial" w:ascii="Arial" w:hAnsi="Arial"/>
          <w:b/>
          <w:caps/>
          <w:sz w:val="21"/>
          <w:szCs w:val="21"/>
          <w:lang w:val="bs-BA"/>
        </w:rPr>
        <w:t xml:space="preserve">I</w:t>
      </w:r>
    </w:p>
    <w:p>
      <w:pPr>
        <w:pStyle w:val="Default"/>
        <w:jc w:val="both"/>
        <w:rPr>
          <w:sz w:val="21"/>
          <w:szCs w:val="21"/>
        </w:rPr>
      </w:pPr>
      <w:r>
        <w:rPr>
          <w:sz w:val="21"/>
          <w:szCs w:val="21"/>
        </w:rPr>
        <w:t xml:space="preserve">Odobravaju se sredstva za nabavku i instalaciju autonomnog hibridnog sistema napajanja na baznoj stanici Sjednica (Bileća), sa pratećim elektromontažnim i građevinskim radovimasa podjelom na dva LOT-a:</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1 – izgradnja temelja, isporuka i montaža nosača za fotonaponske panele (ground mount support) - 3 kpl,</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2 – isporuka i instalacija agregatskog postrojenja 18 kVA za montažu u kontejner sa spremnikom goriva 500 l, ožičenje, testiranje i puštanje u rad hibridnog sistema.</w:t>
      </w:r>
    </w:p>
    <w:p>
      <w:pPr>
        <w:pStyle w:val="Normal"/>
        <w:jc w:val="center"/>
        <w:rPr>
          <w:rFonts w:ascii="Arial" w:hAnsi="Arial" w:cs="Arial"/>
          <w:b/>
          <w:sz w:val="21"/>
          <w:szCs w:val="21"/>
          <w:lang w:val="bs-BA"/>
        </w:rPr>
      </w:pPr>
      <w:r>
        <w:rPr>
          <w:rFonts w:cs="Arial" w:ascii="Arial" w:hAnsi="Arial"/>
          <w:b/>
          <w:sz w:val="21"/>
          <w:szCs w:val="21"/>
          <w:lang w:val="bs-BA"/>
        </w:rPr>
        <w:t xml:space="preserve">II</w:t>
      </w:r>
    </w:p>
    <w:p>
      <w:pPr>
        <w:pStyle w:val="Normal"/>
        <w:jc w:val="both"/>
        <w:rPr>
          <w:rFonts w:ascii="Arial" w:hAnsi="Arial" w:cs="Arial"/>
          <w:sz w:val="21"/>
          <w:szCs w:val="21"/>
          <w:lang w:val="bs-BA"/>
        </w:rPr>
      </w:pPr>
      <w:r>
        <w:rPr>
          <w:rFonts w:cs="Arial" w:ascii="Arial" w:hAnsi="Arial"/>
          <w:sz w:val="21"/>
          <w:szCs w:val="21"/>
          <w:lang w:val="bs-BA"/>
        </w:rPr>
        <w:t xml:space="preserve">Predračunska vrijednost sredstava iz tačke I ove Odluke iznosi ukupno </w:t>
      </w:r>
      <w:r>
        <w:rPr>
          <w:rFonts w:cs="Arial" w:ascii="Arial" w:hAnsi="Arial"/>
          <w:sz w:val="21"/>
          <w:szCs w:val="21"/>
          <w:lang w:val="bs-BA"/>
        </w:rPr>
        <w:t xml:space="preserve">100</w:t>
      </w:r>
      <w:r>
        <w:rPr>
          <w:rFonts w:cs="Arial" w:ascii="Arial" w:hAnsi="Arial"/>
          <w:sz w:val="21"/>
          <w:szCs w:val="21"/>
          <w:lang w:val="bs-BA"/>
        </w:rPr>
        <w:t xml:space="preserve">.000,00 KM (pedesethiljada konvertibilnih maraka) bez PDV-a, od čega se iznos od </w:t>
      </w:r>
      <w:r>
        <w:rPr>
          <w:rFonts w:cs="Arial" w:ascii="Arial" w:hAnsi="Arial"/>
          <w:sz w:val="21"/>
          <w:szCs w:val="21"/>
          <w:lang w:val="bs-BA"/>
        </w:rPr>
        <w:t xml:space="preserve">30</w:t>
      </w:r>
      <w:r>
        <w:rPr>
          <w:rFonts w:cs="Arial" w:ascii="Arial" w:hAnsi="Arial"/>
          <w:sz w:val="21"/>
          <w:szCs w:val="21"/>
          <w:lang w:val="bs-BA"/>
        </w:rPr>
        <w:t xml:space="preserve">.000,00 KM odnosi na LOT 1a iznos od </w:t>
      </w:r>
      <w:r>
        <w:rPr>
          <w:rFonts w:cs="Arial" w:ascii="Arial" w:hAnsi="Arial"/>
          <w:sz w:val="21"/>
          <w:szCs w:val="21"/>
          <w:lang w:val="bs-BA"/>
        </w:rPr>
        <w:t xml:space="preserve">70</w:t>
      </w:r>
      <w:r>
        <w:rPr>
          <w:rFonts w:cs="Arial" w:ascii="Arial" w:hAnsi="Arial"/>
          <w:sz w:val="21"/>
          <w:szCs w:val="21"/>
          <w:lang w:val="bs-BA"/>
        </w:rPr>
        <w:t xml:space="preserve">.000,00 KM na LOT 2 —Sredstva su finansijski raspoloživa u toku poslovne 2026. godine.</w:t>
      </w:r>
    </w:p>
    <w:p>
      <w:pPr>
        <w:pStyle w:val="NoSpacing"/>
        <w:jc w:val="center"/>
        <w:rPr>
          <w:rFonts w:ascii="Arial" w:hAnsi="Arial" w:cs="Arial"/>
          <w:sz w:val="21"/>
          <w:szCs w:val="21"/>
          <w:lang w:val="bs-BA"/>
        </w:rPr>
      </w:pPr>
      <w:r>
        <w:rPr>
          <w:rFonts w:cs="Arial" w:ascii="Arial" w:hAnsi="Arial"/>
          <w:b/>
          <w:sz w:val="21"/>
          <w:szCs w:val="21"/>
          <w:lang w:val="bs-BA"/>
        </w:rPr>
        <w:t xml:space="preserve">III</w:t>
      </w:r>
    </w:p>
    <w:p>
      <w:pPr>
        <w:pStyle w:val="Normal"/>
        <w:jc w:val="center"/>
        <w:rPr>
          <w:rFonts w:ascii="Arial" w:hAnsi="Arial" w:cs="Arial"/>
          <w:sz w:val="21"/>
          <w:szCs w:val="21"/>
          <w:lang w:val="bs-BA"/>
        </w:rPr>
      </w:pPr>
      <w:r>
        <w:rPr>
          <w:rFonts w:cs="Arial" w:ascii="Arial" w:hAnsi="Arial"/>
          <w:sz w:val="21"/>
          <w:szCs w:val="21"/>
          <w:lang w:val="bs-BA"/>
        </w:rPr>
        <w:t xml:space="preserve">Sredstva za realizaciju ove Odluke predviđena su</w:t>
      </w:r>
    </w:p>
    <w:p>
      <w:pPr>
        <w:pStyle w:val="Normal"/>
        <w:jc w:val="both"/>
        <w:rPr>
          <w:rFonts w:ascii="Arial" w:hAnsi="Arial" w:cs="Arial"/>
          <w:sz w:val="21"/>
          <w:szCs w:val="21"/>
          <w:lang w:val="bs-BA"/>
        </w:rPr>
      </w:pPr>
      <w:bookmarkStart w:id="6" w:name="_Hlk93048526"/>
      <w:r>
        <w:rPr>
          <w:rFonts w:cs="Arial" w:ascii="Arial" w:hAnsi="Arial"/>
          <w:sz w:val="21"/>
          <w:szCs w:val="21"/>
          <w:lang w:val="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p>
    <w:p>
      <w:pPr>
        <w:pStyle w:val="Normal"/>
        <w:jc w:val="both"/>
        <w:rPr>
          <w:rFonts w:ascii="Arial" w:hAnsi="Arial" w:cs="Arial"/>
          <w:b/>
          <w:sz w:val="21"/>
          <w:szCs w:val="21"/>
          <w:lang w:val="bs-BA"/>
        </w:rPr>
      </w:pP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color w:val="000000"/>
          <w:sz w:val="21"/>
          <w:szCs w:val="21"/>
          <w:highlight w:val="yellow"/>
          <w:lang w:val="bs-BA"/>
        </w:rPr>
        <w:t xml:space="preserve">14/IP SIGURNOST, r.br. 14.6-18/PROJEKAT- ENERGETIKA I KLIMATIZACIJA, r.br. 18.1 – „Nadzor i upravljanje energetikom“, r.br.18.4-„ Agregatska postrojenja za RR čvorišta - nove lokacije”</w:t>
      </w:r>
    </w:p>
    <w:p>
      <w:pPr>
        <w:pStyle w:val="Normal"/>
        <w:jc w:val="center"/>
        <w:rPr>
          <w:rFonts w:ascii="Arial" w:hAnsi="Arial" w:cs="Arial"/>
          <w:sz w:val="21"/>
          <w:szCs w:val="21"/>
          <w:lang w:val="bs-BA"/>
        </w:rPr>
      </w:pPr>
      <w:r>
        <w:rPr>
          <w:rFonts w:cs="Arial" w:ascii="Arial" w:hAnsi="Arial"/>
          <w:b/>
          <w:sz w:val="21"/>
          <w:szCs w:val="21"/>
          <w:lang w:val="bs-BA"/>
        </w:rPr>
        <w:t xml:space="preserve">IV</w:t>
      </w:r>
    </w:p>
    <w:p>
      <w:pPr>
        <w:pStyle w:val="Normal"/>
        <w:jc w:val="center"/>
        <w:rPr>
          <w:rFonts w:ascii="Arial" w:hAnsi="Arial" w:cs="Arial"/>
          <w:b/>
          <w:sz w:val="21"/>
          <w:szCs w:val="21"/>
          <w:lang w:val="bs-BA"/>
        </w:rPr>
      </w:pPr>
      <w:r>
        <w:rPr>
          <w:rFonts w:cs="Arial" w:ascii="Arial" w:hAnsi="Arial"/>
          <w:b/>
          <w:sz w:val="21"/>
          <w:szCs w:val="21"/>
          <w:lang w:val="bs-BA"/>
        </w:rPr>
        <w:t xml:space="preserve">Rok za realizaciju Odluke je 31.12.2026. godine.</w:t>
      </w:r>
      <w:bookmarkEnd w:id="6"/>
    </w:p>
    <w:p>
      <w:pPr>
        <w:pStyle w:val="Normal"/>
        <w:jc w:val="center"/>
        <w:rPr>
          <w:rFonts w:ascii="Arial" w:hAnsi="Arial" w:cs="Arial"/>
          <w:b/>
          <w:sz w:val="21"/>
          <w:szCs w:val="21"/>
          <w:lang w:val="bs-BA"/>
        </w:rPr>
      </w:pPr>
      <w:r>
        <w:rPr>
          <w:rFonts w:cs="Arial" w:ascii="Arial" w:hAnsi="Arial"/>
          <w:b/>
          <w:sz w:val="21"/>
          <w:szCs w:val="21"/>
          <w:lang w:val="bs-BA"/>
        </w:rPr>
        <w:t xml:space="preserve">V</w:t>
      </w:r>
    </w:p>
    <w:p>
      <w:pPr>
        <w:pStyle w:val="Normal"/>
        <w:jc w:val="both"/>
        <w:rPr>
          <w:rFonts w:ascii="Arial" w:hAnsi="Arial" w:cs="Arial"/>
          <w:sz w:val="21"/>
          <w:szCs w:val="21"/>
          <w:lang w:val="bs-BA"/>
        </w:rPr>
      </w:pPr>
      <w:r>
        <w:rPr>
          <w:rFonts w:cs="Arial" w:ascii="Arial" w:hAnsi="Arial"/>
          <w:sz w:val="21"/>
          <w:szCs w:val="21"/>
          <w:lang w:val="bs-BA"/>
        </w:rPr>
        <w:t xml:space="preserve">Za realizaciju ove Odluke zadužuje se Izvršni direktor Izvršne direkcije za investicije koji će svojim Rješenjem u saradnji sa  izvršnim direktorom Izvršne direkcije za tehnologiju i razvoj servisa precizirati zaduženja po tehnološkim procesima.</w:t>
      </w:r>
    </w:p>
    <w:p>
      <w:pPr>
        <w:pStyle w:val="Normal"/>
        <w:jc w:val="center"/>
        <w:rPr>
          <w:rFonts w:ascii="Arial" w:hAnsi="Arial" w:cs="Arial"/>
          <w:b/>
          <w:sz w:val="21"/>
          <w:szCs w:val="21"/>
          <w:lang w:val="bs-BA"/>
        </w:rPr>
      </w:pPr>
      <w:r>
        <w:rPr>
          <w:rFonts w:cs="Arial" w:ascii="Arial" w:hAnsi="Arial"/>
          <w:b/>
          <w:sz w:val="21"/>
          <w:szCs w:val="21"/>
          <w:lang w:val="bs-BA"/>
        </w:rPr>
        <w:t xml:space="preserve">VI</w:t>
      </w:r>
    </w:p>
    <w:p>
      <w:pPr>
        <w:pStyle w:val="Normal"/>
        <w:jc w:val="both"/>
        <w:rPr>
          <w:rFonts w:ascii="Arial" w:hAnsi="Arial" w:cs="Arial"/>
          <w:sz w:val="21"/>
          <w:szCs w:val="21"/>
          <w:lang w:val="bs-BA"/>
        </w:rPr>
      </w:pPr>
      <w:r>
        <w:rPr>
          <w:rFonts w:cs="Arial" w:ascii="Arial" w:hAnsi="Arial"/>
          <w:sz w:val="21"/>
          <w:szCs w:val="21"/>
          <w:lang w:val="bs-BA"/>
        </w:rPr>
        <w:t xml:space="preserve">Sastavni dio ove Odluke je Obrazloženje, broj: 04.5.1-14</w:t>
      </w:r>
      <w:r>
        <w:rPr>
          <w:rFonts w:cs="Arial" w:ascii="Arial" w:hAnsi="Arial"/>
          <w:sz w:val="21"/>
          <w:szCs w:val="21"/>
          <w:highlight w:val="yellow"/>
          <w:lang w:val="bs-BA"/>
        </w:rPr>
        <w:t xml:space="preserve">-_______/-1/26 od __.__.2026. godine.</w:t>
      </w:r>
    </w:p>
    <w:p>
      <w:pPr>
        <w:pStyle w:val="Normal"/>
        <w:tabs>
          <w:tab w:val="clear" w:pos="709"/>
          <w:tab w:val="left" w:pos="360" w:leader="none"/>
        </w:tabs>
        <w:spacing w:before="0" w:after="0"/>
        <w:contextualSpacing/>
        <w:jc w:val="center"/>
        <w:rPr>
          <w:rFonts w:ascii="Arial" w:hAnsi="Arial" w:cs="Arial"/>
          <w:b/>
          <w:sz w:val="21"/>
          <w:szCs w:val="21"/>
          <w:lang w:val="bs-BA"/>
        </w:rPr>
      </w:pPr>
      <w:r>
        <w:rPr>
          <w:rFonts w:cs="Arial" w:ascii="Arial" w:hAnsi="Arial"/>
          <w:b/>
          <w:sz w:val="21"/>
          <w:szCs w:val="21"/>
          <w:lang w:val="bs-BA"/>
        </w:rPr>
        <w:t xml:space="preserve">VII</w:t>
      </w:r>
    </w:p>
    <w:p>
      <w:pPr>
        <w:pStyle w:val="Normal"/>
        <w:spacing w:before="0" w:after="240"/>
        <w:jc w:val="center"/>
        <w:rPr>
          <w:rFonts w:ascii="Arial" w:hAnsi="Arial" w:cs="Arial"/>
          <w:sz w:val="21"/>
          <w:szCs w:val="21"/>
          <w:lang w:val="bs-BA"/>
        </w:rPr>
      </w:pPr>
      <w:r>
        <w:rPr>
          <w:rFonts w:cs="Arial" w:ascii="Arial" w:hAnsi="Arial"/>
          <w:sz w:val="21"/>
          <w:szCs w:val="21"/>
          <w:lang w:val="bs-BA"/>
        </w:rPr>
        <w:t xml:space="preserve">Odluka stupa na snagu sa danom donošenja.</w:t>
      </w:r>
    </w:p>
    <w:p>
      <w:pPr>
        <w:pStyle w:val="Normal"/>
        <w:ind w:start="4956"/>
        <w:rPr>
          <w:rFonts w:ascii="Arial" w:hAnsi="Arial" w:cs="Arial"/>
          <w:b/>
          <w:sz w:val="21"/>
          <w:szCs w:val="21"/>
          <w:lang w:val="bs-BA"/>
        </w:rPr>
      </w:pPr>
      <w:r>
        <mc:AlternateContent>
          <mc:Choice Requires="wps">
            <w:drawing>
              <wp:anchor distT="45085" distB="45720" distL="113665" distR="114300" simplePos="0" relativeHeight="19" behindDoc="0" locked="0" layoutInCell="0" allowOverlap="1" wp14:anchorId="4B28153F">
                <wp:simplePos x="0" y="0"/>
                <wp:positionH relativeFrom="column">
                  <wp:posOffset>-7620</wp:posOffset>
                </wp:positionH>
                <wp:positionV relativeFrom="paragraph">
                  <wp:posOffset>154940</wp:posOffset>
                </wp:positionV>
                <wp:extent cx="1504315" cy="878205"/>
                <wp:effectExtent l="0" t="0" r="635" b="0"/>
                <wp:wrapSquare wrapText="bothSides"/>
                <wp:docPr id="33" name="Text Box 2"/>
                <a:graphic xmlns:a="http://schemas.openxmlformats.org/drawingml/2006/main">
                  <a:graphicData uri="http://schemas.microsoft.com/office/word/2010/wordprocessingShape">
                    <wps:wsp>
                      <wps:cNvSpPr/>
                      <wps:spPr>
                        <a:xfrm>
                          <a:off x="0" y="0"/>
                          <a:ext cx="1504440" cy="878040"/>
                        </a:xfrm>
                        <a:prstGeom prst="rect">
                          <a:avLst/>
                        </a:prstGeom>
                        <a:solidFill>
                          <a:srgbClr val="FFFFFF"/>
                        </a:solidFill>
                        <a:ln w="9525">
                          <a:noFill/>
                        </a:ln>
                      </wps:spPr>
                      <wps:style>
                        <a:lnRef idx="0"/>
                        <a:fillRef idx="0"/>
                        <a:effectRef idx="0"/>
                        <a:fontRef idx="minor"/>
                      </wps:style>
                      <wps:txb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wps:txbx>
                      <wps:bodyPr anchor="t">
                        <a:noAutofit/>
                      </wps:bodyPr>
                    </wps:wsp>
                  </a:graphicData>
                </a:graphic>
              </wp:anchor>
            </w:drawing>
          </mc:Choice>
          <mc:Fallback>
            <w:pict>
              <v:rect id="shape_0" fillcolor="white" stroked="f" o:allowincell="f" style="position:absolute;margin-left:-0.6pt;margin-top:12.2pt;width:118.4pt;height:69.1pt;mso-wrap-style:square;v-text-anchor:top" wp14:anchorId="4B28153F">
                <v:fill o:detectmouseclick="t" type="solid" color2="black"/>
                <v:stroke color="#3465a4" weight="9360" joinstyle="miter" endcap="flat"/>
                <v:textbo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v:textbox>
                <w10:wrap type="square"/>
              </v:rect>
            </w:pict>
          </mc:Fallback>
        </mc:AlternateConten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ListParagraph"/>
        <w:tabs>
          <w:tab w:val="clear" w:pos="709"/>
          <w:tab w:val="left" w:pos="1180" w:leader="none"/>
        </w:tabs>
        <w:ind w:start="0"/>
        <w:rPr>
          <w:rFonts w:ascii="Arial" w:hAnsi="Arial" w:cs="Arial"/>
          <w:sz w:val="21"/>
          <w:szCs w:val="21"/>
          <w:lang w:val="bs-BA"/>
        </w:rPr>
      </w:pPr>
      <w:r>
        <w:rPr>
          <w:rFonts w:cs="Arial" w:ascii="Arial" w:hAnsi="Arial"/>
          <w:sz w:val="21"/>
          <w:szCs w:val="21"/>
          <w:lang w:val="bs-BA"/>
        </w:rPr>
      </w:r>
    </w:p>
    <w:p>
      <w:pPr>
        <w:pStyle w:val="ListParagraph"/>
        <w:tabs>
          <w:tab w:val="clear" w:pos="709"/>
          <w:tab w:val="left" w:pos="1180" w:leader="none"/>
        </w:tabs>
        <w:ind w:start="0"/>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ListParagraph"/>
        <w:tabs>
          <w:tab w:val="clear" w:pos="709"/>
          <w:tab w:val="left" w:pos="1180" w:leader="none"/>
        </w:tabs>
        <w:spacing w:before="0" w:after="0"/>
        <w:ind w:start="0"/>
        <w:rPr>
          <w:rFonts w:ascii="Arial" w:hAnsi="Arial" w:cs="Arial"/>
          <w:b/>
          <w:sz w:val="21"/>
          <w:szCs w:val="21"/>
          <w:lang w:val="bs-BA"/>
        </w:rPr>
      </w:pPr>
      <w:r>
        <w:rPr>
          <w:rFonts w:cs="Arial" w:ascii="Arial" w:hAnsi="Arial"/>
          <w:b/>
          <w:sz w:val="21"/>
          <w:szCs w:val="21"/>
          <w:lang w:val="bs-BA"/>
        </w:rPr>
        <w:t xml:space="preserve">Broj: 04.5.1-14- </w:t>
      </w:r>
      <w:r>
        <w:rPr>
          <w:rFonts w:cs="Arial" w:ascii="Arial" w:hAnsi="Arial"/>
          <w:b/>
          <w:sz w:val="21"/>
          <w:szCs w:val="21"/>
          <w:highlight w:val="yellow"/>
          <w:lang w:val="bs-BA"/>
        </w:rPr>
        <w:t xml:space="preserve">_________</w:t>
      </w:r>
      <w:r>
        <w:rPr>
          <w:rFonts w:cs="Arial" w:ascii="Arial" w:hAnsi="Arial"/>
          <w:b/>
          <w:sz w:val="21"/>
          <w:szCs w:val="21"/>
          <w:lang w:val="bs-BA"/>
        </w:rPr>
        <w:t xml:space="preserve">-1/26</w:t>
      </w:r>
    </w:p>
    <w:p>
      <w:pPr>
        <w:pStyle w:val="ListParagraph"/>
        <w:ind w:start="0"/>
        <w:rPr>
          <w:rFonts w:ascii="Arial" w:hAnsi="Arial" w:cs="Arial"/>
          <w:b/>
          <w:sz w:val="21"/>
          <w:szCs w:val="21"/>
          <w:lang w:val="bs-BA"/>
        </w:rPr>
      </w:pPr>
      <w:r>
        <w:rPr>
          <w:rFonts w:cs="Arial" w:ascii="Arial" w:hAnsi="Arial"/>
          <w:b/>
          <w:sz w:val="21"/>
          <w:szCs w:val="21"/>
          <w:lang w:val="bs-BA"/>
        </w:rPr>
        <w:t xml:space="preserve">Sarajevo</w:t>
      </w:r>
      <w:r>
        <w:rPr>
          <w:rFonts w:cs="Arial" w:ascii="Arial" w:hAnsi="Arial"/>
          <w:b/>
          <w:sz w:val="21"/>
          <w:szCs w:val="21"/>
          <w:highlight w:val="yellow"/>
          <w:lang w:val="bs-BA"/>
        </w:rPr>
        <w:t xml:space="preserve">, __.__.</w:t>
      </w:r>
      <w:r>
        <w:rPr>
          <w:rFonts w:cs="Arial" w:ascii="Arial" w:hAnsi="Arial"/>
          <w:b/>
          <w:sz w:val="21"/>
          <w:szCs w:val="21"/>
          <w:lang w:val="bs-BA"/>
        </w:rPr>
        <w:t xml:space="preserve">2026.godine </w:t>
      </w:r>
    </w:p>
    <w:p>
      <w:pPr>
        <w:pStyle w:val="ListParagraph"/>
        <w:ind w:start="0"/>
        <w:jc w:val="center"/>
        <w:rPr>
          <w:rFonts w:ascii="Arial" w:hAnsi="Arial" w:cs="Arial"/>
          <w:b/>
          <w:sz w:val="21"/>
          <w:szCs w:val="21"/>
          <w:lang w:val="bs-BA"/>
        </w:rPr>
      </w:pPr>
      <w:r>
        <w:rPr>
          <w:rFonts w:cs="Arial" w:ascii="Arial" w:hAnsi="Arial"/>
          <w:b/>
          <w:sz w:val="21"/>
          <w:szCs w:val="21"/>
          <w:lang w:val="bs-BA"/>
        </w:rPr>
        <w:t xml:space="preserve">ANEKS 2</w:t>
      </w:r>
    </w:p>
    <w:p>
      <w:pPr>
        <w:pStyle w:val="Normal"/>
        <w:jc w:val="center"/>
        <w:rPr>
          <w:rFonts w:ascii="Arial" w:hAnsi="Arial" w:cs="Arial"/>
          <w:b/>
          <w:sz w:val="21"/>
          <w:szCs w:val="21"/>
          <w:lang w:val="bs-BA"/>
        </w:rPr>
      </w:pPr>
      <w:r>
        <w:rPr>
          <w:rFonts w:cs="Arial" w:ascii="Arial" w:hAnsi="Arial"/>
          <w:b/>
          <w:sz w:val="21"/>
          <w:szCs w:val="21"/>
          <w:lang w:val="bs-BA"/>
        </w:rPr>
        <w:t xml:space="preserve">OBRAZLOŽENJE</w:t>
      </w:r>
    </w:p>
    <w:p>
      <w:pPr>
        <w:pStyle w:val="Normal"/>
        <w:jc w:val="center"/>
        <w:rPr>
          <w:rFonts w:ascii="Arial" w:hAnsi="Arial" w:cs="Arial"/>
          <w:b/>
          <w:caps/>
          <w:sz w:val="21"/>
          <w:szCs w:val="21"/>
          <w:lang w:val="bs-BA"/>
        </w:rPr>
      </w:pPr>
      <w:r>
        <w:rPr>
          <w:rFonts w:cs="Arial" w:ascii="Arial" w:hAnsi="Arial"/>
          <w:b/>
          <w:caps/>
          <w:sz w:val="21"/>
          <w:szCs w:val="21"/>
          <w:lang w:val="bs-BA"/>
        </w:rPr>
        <w:t xml:space="preserve">PRIJEDLOGA ODLUKE O ODOBRENJU SREDSTAVA ZA NABAVKU AUTONOMNOG HIBRIDNOG SISTEMA NAPAJANJA NA BAZNOJ STANICI SJEDNICA (BILEĆA)</w:t>
      </w:r>
    </w:p>
    <w:tbl>
      <w:tblPr>
        <w:tblW w:w="9840" w:type="dxa"/>
        <w:jc w:val="start"/>
        <w:tblInd w:w="-136" w:type="dxa"/>
        <w:tblLayout w:type="fixed"/>
        <w:tblCellMar>
          <w:top w:w="0" w:type="dxa"/>
          <w:start w:w="108" w:type="dxa"/>
          <w:bottom w:w="0" w:type="dxa"/>
          <w:end w:w="108" w:type="dxa"/>
        </w:tblCellMar>
        <w:tblLook w:val="0000" w:firstRow="0" w:noVBand="0" w:lastRow="0" w:firstColumn="0" w:lastColumn="0" w:noHBand="0"/>
      </w:tblPr>
      <w:tblGrid>
        <w:gridCol w:w="9840"/>
      </w:tblGrid>
      <w:tr>
        <w:trPr>
          <w:trHeight w:val="2473"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Opšti planski dio</w:t>
            </w:r>
          </w:p>
          <w:p>
            <w:pPr>
              <w:pStyle w:val="NoSpacing"/>
              <w:tabs>
                <w:tab w:val="clear" w:pos="709"/>
                <w:tab w:val="left" w:pos="1155" w:leader="none"/>
              </w:tabs>
              <w:suppressAutoHyphens w:val="false"/>
              <w:jc w:val="both"/>
              <w:rPr>
                <w:rFonts w:ascii="Arial" w:hAnsi="Arial" w:cs="Arial"/>
                <w:b/>
                <w:sz w:val="21"/>
                <w:szCs w:val="21"/>
                <w:lang w:val="bs-BA" w:eastAsia="hr-HR"/>
              </w:rPr>
            </w:pPr>
            <w:r>
              <w:rPr>
                <w:rFonts w:cs="Arial" w:ascii="Arial" w:hAnsi="Arial"/>
                <w:color w:val="000000"/>
                <w:sz w:val="21"/>
                <w:szCs w:val="21"/>
                <w:lang w:val="bs-BA"/>
              </w:rPr>
              <w:t xml:space="preserve">Sredstva za realizaciju ove Odluke predviđena su </w:t>
            </w:r>
            <w:r>
              <w:rPr>
                <w:rFonts w:cs="Arial" w:ascii="Arial" w:hAnsi="Arial"/>
                <w:sz w:val="21"/>
                <w:szCs w:val="21"/>
                <w:lang w:val="bs-BA" w:eastAsia="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r>
              <w:rPr>
                <w:rFonts w:cs="Arial" w:ascii="Arial" w:hAnsi="Arial"/>
                <w:color w:val="000000"/>
                <w:sz w:val="21"/>
                <w:szCs w:val="21"/>
                <w:lang w:val="bs-BA"/>
              </w:rPr>
              <w:t xml:space="preserve"> i </w:t>
            </w: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sz w:val="21"/>
                <w:szCs w:val="21"/>
                <w:highlight w:val="cyan"/>
                <w:lang w:val="bs-BA"/>
              </w:rPr>
              <w:t xml:space="preserve">redni broj 14/IP SIGURNOST, r.br. 14.6- Sigurnosne platforme za 5G , redni broj </w:t>
            </w:r>
            <w:r>
              <w:rPr>
                <w:rFonts w:cs="Arial" w:ascii="Arial" w:hAnsi="Arial"/>
                <w:color w:val="000000"/>
                <w:sz w:val="21"/>
                <w:szCs w:val="21"/>
                <w:highlight w:val="cyan"/>
                <w:lang w:val="bs-BA"/>
              </w:rPr>
              <w:t xml:space="preserve">18/PROJEKAT- ENERGETIKA I KLIMATIZACIJA, r.br.</w:t>
            </w:r>
            <w:r>
              <w:rPr>
                <w:rFonts w:cs="Arial" w:ascii="Arial" w:hAnsi="Arial"/>
                <w:sz w:val="21"/>
                <w:szCs w:val="21"/>
                <w:highlight w:val="cyan"/>
                <w:lang w:val="bs-BA"/>
              </w:rPr>
              <w:t xml:space="preserve"> </w:t>
            </w:r>
            <w:r>
              <w:rPr>
                <w:rFonts w:cs="Arial" w:ascii="Arial" w:hAnsi="Arial"/>
                <w:color w:val="000000"/>
                <w:sz w:val="21"/>
                <w:szCs w:val="21"/>
                <w:highlight w:val="cyan"/>
                <w:lang w:val="bs-BA"/>
              </w:rPr>
              <w:t xml:space="preserve">18.1 – „Nadzor i upravljanje energetikom“, r.br.18.4-„</w:t>
            </w:r>
            <w:r>
              <w:rPr>
                <w:rFonts w:cs="Arial" w:ascii="Arial" w:hAnsi="Arial"/>
                <w:sz w:val="21"/>
                <w:szCs w:val="21"/>
                <w:highlight w:val="cyan"/>
                <w:lang w:val="bs-BA" w:eastAsia="en-US"/>
              </w:rPr>
              <w:t xml:space="preserve"> </w:t>
            </w:r>
            <w:r>
              <w:rPr>
                <w:rFonts w:cs="Arial" w:ascii="Arial" w:hAnsi="Arial"/>
                <w:color w:val="000000"/>
                <w:sz w:val="21"/>
                <w:szCs w:val="21"/>
                <w:highlight w:val="cyan"/>
                <w:lang w:val="bs-BA"/>
              </w:rPr>
              <w:t xml:space="preserve">Agregatska postrojenja za RR čvorišta - nove lokacije”</w:t>
            </w:r>
          </w:p>
        </w:tc>
      </w:tr>
      <w:tr>
        <w:trPr>
          <w:trHeight w:val="119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hd w:val="clear" w:color="auto" w:fill="FFFFFF"/>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Predračunska vrijednost i način procjene</w:t>
            </w:r>
          </w:p>
          <w:p>
            <w:pPr>
              <w:pStyle w:val="Default"/>
              <w:jc w:val="both"/>
              <w:rPr>
                <w:sz w:val="21"/>
                <w:szCs w:val="21"/>
              </w:rPr>
            </w:pPr>
            <w:r>
              <w:rPr>
                <w:sz w:val="21"/>
                <w:szCs w:val="21"/>
              </w:rPr>
              <w:t xml:space="preserve">Ukupna predračunska vrijednost sredstava iznosi </w:t>
            </w:r>
            <w:r>
              <w:rPr>
                <w:sz w:val="21"/>
                <w:szCs w:val="21"/>
              </w:rPr>
              <w:t xml:space="preserve">10</w:t>
            </w:r>
            <w:r>
              <w:rPr>
                <w:sz w:val="21"/>
                <w:szCs w:val="21"/>
              </w:rPr>
              <w:t xml:space="preserve">0.000,00 KM bez PDV-a (LOT 1 — </w:t>
            </w:r>
            <w:r>
              <w:rPr>
                <w:sz w:val="21"/>
                <w:szCs w:val="21"/>
              </w:rPr>
              <w:t xml:space="preserve">30</w:t>
            </w:r>
            <w:r>
              <w:rPr>
                <w:sz w:val="21"/>
                <w:szCs w:val="21"/>
              </w:rPr>
              <w:t xml:space="preserve">.000,00 KM, LOT 2 — </w:t>
            </w:r>
            <w:r>
              <w:rPr>
                <w:sz w:val="21"/>
                <w:szCs w:val="21"/>
              </w:rPr>
              <w:t xml:space="preserve">70</w:t>
            </w:r>
            <w:r>
              <w:rPr>
                <w:sz w:val="21"/>
                <w:szCs w:val="21"/>
              </w:rPr>
              <w:t xml:space="preserve">.000,00 KM), sa rokom realizacije Odluke do 31.12.2027. godine.</w:t>
            </w:r>
          </w:p>
          <w:p>
            <w:pPr>
              <w:pStyle w:val="Default"/>
              <w:jc w:val="both"/>
              <w:rPr>
                <w:sz w:val="21"/>
                <w:szCs w:val="21"/>
              </w:rPr>
            </w:pPr>
            <w:r>
              <w:rPr>
                <w:color w:val="auto"/>
                <w:sz w:val="21"/>
                <w:szCs w:val="21"/>
                <w:lang w:eastAsia="zh-CN"/>
              </w:rPr>
              <w:t xml:space="preserve">Navedena vrijednost je procijenjena na osnovu cijena iz prethodnih nabavki opreme ovog tipa, te na osnovu ispitivanja tržišta i informativnih ponuda prikupljenih putem RFI dokumenta „Autonomno napajanje za BS“ od 27.04.2026. godine. Ukupna procijenjena vrijednost nabavke iznosi </w:t>
            </w:r>
            <w:r>
              <w:rPr>
                <w:color w:val="auto"/>
                <w:sz w:val="21"/>
                <w:szCs w:val="21"/>
                <w:lang w:eastAsia="zh-CN"/>
              </w:rPr>
              <w:t xml:space="preserve">100</w:t>
            </w:r>
            <w:r>
              <w:rPr>
                <w:color w:val="auto"/>
                <w:sz w:val="21"/>
                <w:szCs w:val="21"/>
                <w:lang w:eastAsia="zh-CN"/>
              </w:rPr>
              <w:t xml:space="preserve">.000,00 KM bez PDV-a, i to: LOT 1 </w:t>
            </w:r>
            <w:r>
              <w:rPr>
                <w:color w:val="auto"/>
                <w:sz w:val="21"/>
                <w:szCs w:val="21"/>
                <w:lang w:eastAsia="zh-CN"/>
              </w:rPr>
              <w:t xml:space="preserve">30</w:t>
            </w:r>
            <w:r>
              <w:rPr>
                <w:color w:val="auto"/>
                <w:sz w:val="21"/>
                <w:szCs w:val="21"/>
                <w:lang w:eastAsia="zh-CN"/>
              </w:rPr>
              <w:t xml:space="preserve">.000,00 KM i LOT 2 </w:t>
            </w:r>
            <w:r>
              <w:rPr>
                <w:color w:val="auto"/>
                <w:sz w:val="21"/>
                <w:szCs w:val="21"/>
                <w:lang w:eastAsia="zh-CN"/>
              </w:rPr>
              <w:t xml:space="preserve">70</w:t>
            </w:r>
            <w:r>
              <w:rPr>
                <w:color w:val="auto"/>
                <w:sz w:val="21"/>
                <w:szCs w:val="21"/>
                <w:lang w:eastAsia="zh-CN"/>
              </w:rPr>
              <w:t xml:space="preserve">.000,00 KM. Detaljna struktura cijena po stavkama data je u Prilogu II — Obrazac za cijenu ponude.</w:t>
            </w:r>
          </w:p>
        </w:tc>
      </w:tr>
      <w:tr>
        <w:trPr>
          <w:trHeight w:val="660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jc w:val="both"/>
              <w:rPr>
                <w:rFonts w:ascii="Arial" w:hAnsi="Arial" w:cs="Arial"/>
                <w:b/>
                <w:sz w:val="21"/>
                <w:szCs w:val="21"/>
                <w:lang w:val="bs-BA" w:eastAsia="hr-HR"/>
              </w:rPr>
            </w:pPr>
            <w:r>
              <w:rPr>
                <w:rFonts w:cs="Arial" w:ascii="Arial" w:hAnsi="Arial"/>
                <w:b/>
                <w:sz w:val="21"/>
                <w:szCs w:val="21"/>
                <w:lang w:val="bs-BA" w:eastAsia="hr-HR"/>
              </w:rPr>
              <w:t xml:space="preserve">Postojeće stanje i razlozi nabavke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Sjednica (Bileća) je 2014. godine odabrana kao buduće RR čvorište preko kojeg se osigurava rad TK opreme na više lokacija uvezanih na predmetno čvorište. Lokacija se nalazi na nadmorskoj visini od 1076 m, na koordinatama 42.9448° N, 18.3236° E. Na lokaciji su od 2018. godine prisutne sljedeće građevinske cjeline: temelj cca 5,40 x 5.40 m, metalna ograda, antenski stub h = 38 m i kontejner tip K2 ispod stuba. Zakupljeni prostor iznosi 150 m</w:t>
            </w:r>
            <w:r>
              <w:rPr>
                <w:rFonts w:cs="Arial" w:ascii="Arial" w:hAnsi="Arial"/>
                <w:sz w:val="21"/>
                <w:szCs w:val="21"/>
                <w:vertAlign w:val="superscript"/>
                <w:lang w:val="bs-BA"/>
              </w:rPr>
              <w:t xml:space="preserve">2</w:t>
            </w:r>
            <w:r>
              <w:rPr>
                <w:rFonts w:cs="Arial" w:ascii="Arial" w:hAnsi="Arial"/>
                <w:sz w:val="21"/>
                <w:szCs w:val="21"/>
                <w:lang w:val="bs-BA"/>
              </w:rPr>
              <w:t xml:space="preserv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se nalazi na geografski udaljenom i teško pristupačnom planinskom terenu zbog čega je održavanje otežano ili u potpunosti nemoguće tokom cijele godine. Usljed neodržavanja i nekorištenja, prilaz i pristup objektu (last mile) je veoma loš ili nepostojeći u segmentima. Realizacija nabavke se može ocijeniti PRIORITETNOM obzirom na eventualne uštede koje se očekuju kroz smanjenje zakupa transportnih, access linkova i bolje pokrivanja šire okoline okoline Bileće mobilnim signalom.</w:t>
            </w:r>
          </w:p>
          <w:p>
            <w:pPr>
              <w:pStyle w:val="ListParagraph"/>
              <w:ind w:start="0"/>
              <w:jc w:val="both"/>
              <w:rPr>
                <w:rFonts w:ascii="Arial" w:hAnsi="Arial" w:cs="Arial"/>
                <w:sz w:val="21"/>
                <w:szCs w:val="21"/>
                <w:lang w:val="bs-BA"/>
              </w:rPr>
            </w:pPr>
            <w:r>
              <w:rPr>
                <w:rFonts w:cs="Arial" w:ascii="Arial" w:hAnsi="Arial"/>
                <w:sz w:val="21"/>
                <w:szCs w:val="21"/>
                <w:lang w:val="bs-BA"/>
              </w:rPr>
              <w:t xml:space="preserve">Ključna specifičnost lokacije je da ista još uvijek NIJE priključena na elektroenergetsku mrežu, niti se isto očekuje u narednom periodu. Ocjena opravdanosti izgradnje priključka nije u domenu predmeta nabavke. Sektor za energetiku cijeni da je izgradnja elektroenergetskog priključka moguća, ekonomski opravdana za očekivane uštede i prijeko potrebna za eventualnu klasifikaciju objekta kao RR/BS/MPLS čvorišta.</w:t>
            </w:r>
          </w:p>
          <w:p>
            <w:pPr>
              <w:pStyle w:val="ListParagraph"/>
              <w:ind w:start="0"/>
              <w:jc w:val="both"/>
              <w:rPr>
                <w:rFonts w:ascii="Arial" w:hAnsi="Arial" w:cs="Arial"/>
                <w:sz w:val="21"/>
                <w:szCs w:val="21"/>
                <w:lang w:val="bs-BA"/>
              </w:rPr>
            </w:pPr>
            <w:r>
              <w:rPr>
                <w:rFonts w:cs="Arial" w:ascii="Arial" w:hAnsi="Arial"/>
                <w:sz w:val="21"/>
                <w:szCs w:val="21"/>
                <w:lang w:val="bs-BA"/>
              </w:rPr>
              <w:t xml:space="preserve">Planirana TK oprema  na lokaciji uključuje minimalno RAN, RR i MPLS opremu smještenu vani:</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u vanjskim ormarima (npr. </w:t>
            </w:r>
            <w:r>
              <w:rPr>
                <w:rFonts w:cs="Arial" w:ascii="Arial" w:hAnsi="Arial"/>
                <w:b/>
                <w:sz w:val="21"/>
                <w:szCs w:val="21"/>
                <w:lang w:val="bs-BA"/>
              </w:rPr>
              <w:t xml:space="preserve">Huawei MTS9302A</w:t>
            </w:r>
            <w:r>
              <w:rPr>
                <w:rFonts w:cs="Arial" w:ascii="Arial" w:hAnsi="Arial"/>
                <w:sz w:val="21"/>
                <w:szCs w:val="21"/>
                <w:lang w:val="bs-BA"/>
              </w:rPr>
              <w:t xml:space="preserve"> kabinet sa BBU i MPLS i RR opremom)</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na stubu (remote RRU/MMU jedinice i antenski sistem).</w:t>
            </w:r>
          </w:p>
          <w:p>
            <w:pPr>
              <w:pStyle w:val="Normal"/>
              <w:jc w:val="both"/>
              <w:rPr>
                <w:rFonts w:ascii="Arial" w:hAnsi="Arial" w:cs="Arial"/>
                <w:sz w:val="21"/>
                <w:szCs w:val="21"/>
                <w:lang w:val="bs-BA"/>
              </w:rPr>
            </w:pPr>
            <w:r>
              <w:rPr>
                <w:rFonts w:cs="Arial" w:ascii="Arial" w:hAnsi="Arial"/>
                <w:b/>
                <w:sz w:val="21"/>
                <w:szCs w:val="21"/>
                <w:lang w:val="bs-BA"/>
              </w:rPr>
              <w:t xml:space="preserve">Smještaj TK opreme u kontejner</w:t>
            </w:r>
            <w:r>
              <w:rPr>
                <w:rFonts w:cs="Arial" w:ascii="Arial" w:hAnsi="Arial"/>
                <w:sz w:val="21"/>
                <w:szCs w:val="21"/>
                <w:lang w:val="bs-BA"/>
              </w:rPr>
              <w:t xml:space="preserve">, tj. prostoriju agregatskog postrojenja sa spremnikom </w:t>
            </w:r>
            <w:r>
              <w:rPr>
                <w:rFonts w:cs="Arial" w:ascii="Arial" w:hAnsi="Arial"/>
                <w:b/>
                <w:sz w:val="21"/>
                <w:szCs w:val="21"/>
                <w:lang w:val="bs-BA"/>
              </w:rPr>
              <w:t xml:space="preserve">nije dozvoljen</w:t>
            </w:r>
            <w:r>
              <w:rPr>
                <w:rFonts w:cs="Arial" w:ascii="Arial" w:hAnsi="Arial"/>
                <w:sz w:val="21"/>
                <w:szCs w:val="21"/>
                <w:lang w:val="bs-BA"/>
              </w:rPr>
              <w:t xml:space="preserve">. Energetskim bilansom se predviđa autonomni hibridni sistem za napajanje potrošača isključivo na -48 VDC, procijenjene snage 1.180 W (nazivno), odnosno 1.330 W (vršno - ljeti), uključujući sistem hlađenja i rezidualnu/pomoćnu opremu.</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napajanja predviđen je kao hibridni – off grid sastavljen od osnovnih elementa:</w:t>
            </w:r>
          </w:p>
          <w:p>
            <w:pPr>
              <w:pStyle w:val="ListParagraph"/>
              <w:ind w:start="0"/>
              <w:jc w:val="both"/>
              <w:rPr>
                <w:rFonts w:ascii="Arial" w:hAnsi="Arial" w:cs="Arial"/>
                <w:sz w:val="21"/>
                <w:szCs w:val="21"/>
                <w:lang w:val="bs-BA"/>
              </w:rPr>
            </w:pPr>
            <w:r>
              <w:rPr>
                <w:rFonts w:cs="Arial" w:ascii="Arial" w:hAnsi="Arial"/>
                <w:sz w:val="21"/>
                <w:szCs w:val="21"/>
                <w:lang w:val="bs-BA"/>
              </w:rPr>
              <w:t xml:space="preserve">- primarni izvor: fotonaponski (PV) moduli tip. </w:t>
            </w:r>
            <w:r>
              <w:rPr>
                <w:rFonts w:cs="Arial" w:ascii="Arial" w:hAnsi="Arial"/>
                <w:b/>
                <w:sz w:val="21"/>
                <w:szCs w:val="21"/>
                <w:lang w:val="bs-BA"/>
              </w:rPr>
              <w:t xml:space="preserve">iPV585-M2A</w:t>
            </w:r>
            <w:r>
              <w:rPr>
                <w:rFonts w:cs="Arial" w:ascii="Arial" w:hAnsi="Arial"/>
                <w:sz w:val="21"/>
                <w:szCs w:val="21"/>
                <w:lang w:val="bs-BA"/>
              </w:rPr>
              <w:t xml:space="preserve"> instalisane snage 2x6x585= 7.020 Wp</w:t>
            </w:r>
          </w:p>
          <w:p>
            <w:pPr>
              <w:pStyle w:val="ListParagraph"/>
              <w:ind w:start="0"/>
              <w:jc w:val="both"/>
              <w:rPr>
                <w:rFonts w:ascii="Arial" w:hAnsi="Arial" w:cs="Arial"/>
                <w:sz w:val="21"/>
                <w:szCs w:val="21"/>
                <w:lang w:val="bs-BA"/>
              </w:rPr>
            </w:pPr>
            <w:r>
              <w:rPr>
                <w:rFonts w:cs="Arial" w:ascii="Arial" w:hAnsi="Arial"/>
                <w:sz w:val="21"/>
                <w:szCs w:val="21"/>
                <w:lang w:val="bs-BA"/>
              </w:rPr>
              <w:t xml:space="preserve">- sekundarni izvor: baterijski sistem (LFP – litijum-željezo-fosfatna) instalisanog kapaciteta 6x150 Ah (48,6 kWh), DoD min. 85% kao ciklirajuća akumulacija, smješten u zasebnom outdoor ormaru sa solarnim punjačima i ispravljačima Huawei ICC360-HA1-C1 (PowerCube 1000) ili kompatibilnim sistemom.</w:t>
            </w:r>
          </w:p>
          <w:p>
            <w:pPr>
              <w:pStyle w:val="ListParagraph"/>
              <w:ind w:start="0"/>
              <w:jc w:val="both"/>
              <w:rPr>
                <w:rFonts w:ascii="Arial" w:hAnsi="Arial" w:cs="Arial"/>
                <w:sz w:val="21"/>
                <w:szCs w:val="21"/>
                <w:lang w:val="bs-BA"/>
              </w:rPr>
            </w:pPr>
            <w:r>
              <w:rPr>
                <w:rFonts w:cs="Arial" w:ascii="Arial" w:hAnsi="Arial"/>
                <w:sz w:val="21"/>
                <w:szCs w:val="21"/>
                <w:lang w:val="bs-BA"/>
              </w:rPr>
              <w:t xml:space="preserve">- rezervni izvor: automatski dizel električni agregat snage 18 kVA (14,4 kW), 3 x 230/400 V, 50 Hz smješten u postojeći kontejner. DEA napaja ispravljače.</w:t>
            </w:r>
          </w:p>
          <w:p>
            <w:pPr>
              <w:pStyle w:val="ListParagraph"/>
              <w:ind w:start="0"/>
              <w:jc w:val="both"/>
              <w:rPr>
                <w:rFonts w:ascii="Arial" w:hAnsi="Arial" w:cs="Arial"/>
                <w:sz w:val="21"/>
                <w:szCs w:val="21"/>
                <w:lang w:val="bs-BA"/>
              </w:rPr>
            </w:pPr>
            <w:r>
              <w:rPr>
                <w:rFonts w:cs="Arial" w:ascii="Arial" w:hAnsi="Arial"/>
                <w:sz w:val="21"/>
                <w:szCs w:val="21"/>
                <w:lang w:val="bs-BA"/>
              </w:rPr>
              <w:t xml:space="preserve">Oprema primarnog izvora (</w:t>
            </w:r>
            <w:r>
              <w:rPr>
                <w:rFonts w:cs="Arial" w:ascii="Arial" w:hAnsi="Arial"/>
                <w:b/>
                <w:sz w:val="21"/>
                <w:szCs w:val="21"/>
                <w:lang w:val="bs-BA"/>
              </w:rPr>
              <w:t xml:space="preserve">iPV585-M2A</w:t>
            </w:r>
            <w:r>
              <w:rPr>
                <w:rFonts w:cs="Arial" w:ascii="Arial" w:hAnsi="Arial"/>
                <w:sz w:val="21"/>
                <w:szCs w:val="21"/>
                <w:lang w:val="bs-BA"/>
              </w:rPr>
              <w:t xml:space="preserve">), sekundarnog izvora (</w:t>
            </w:r>
            <w:r>
              <w:rPr>
                <w:rFonts w:cs="Arial" w:ascii="Arial" w:hAnsi="Arial"/>
                <w:b/>
                <w:sz w:val="21"/>
                <w:szCs w:val="21"/>
                <w:lang w:val="bs-BA"/>
              </w:rPr>
              <w:t xml:space="preserve">ICC360-HA1-C1</w:t>
            </w:r>
            <w:r>
              <w:rPr>
                <w:rFonts w:cs="Arial" w:ascii="Arial" w:hAnsi="Arial"/>
                <w:sz w:val="21"/>
                <w:szCs w:val="21"/>
                <w:lang w:val="bs-BA"/>
              </w:rPr>
              <w:t xml:space="preserve">) i ormar za smještaj TK opreme (</w:t>
            </w:r>
            <w:r>
              <w:rPr>
                <w:rFonts w:cs="Arial" w:ascii="Arial" w:hAnsi="Arial"/>
                <w:b/>
                <w:sz w:val="21"/>
                <w:szCs w:val="21"/>
                <w:lang w:val="bs-BA"/>
              </w:rPr>
              <w:t xml:space="preserve">MTS9302A</w:t>
            </w:r>
            <w:r>
              <w:rPr>
                <w:rFonts w:cs="Arial" w:ascii="Arial" w:hAnsi="Arial"/>
                <w:sz w:val="21"/>
                <w:szCs w:val="21"/>
                <w:lang w:val="bs-BA"/>
              </w:rPr>
              <w:t xml:space="preserve">) nije predmet nabavke već se isporučuje zasebno kao kompletno embedded rješenje sa omogućenim menadžmentom, daljinskim nadzorom i upravljanjem hibridnim sistemom na lokaicji putem NetEco platforme isporučene od strane kompanije Huawei, te je realizovana u okviru tekućih projekata proširenja radio-pristupne infrastrukture u BH Telecomu. </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je dimenzionisan tako da fotonaponsko polje pokriva najveći dio potrošnje, a dizel električni agregat radi samo kada baterije dostignu zadanu dubinu pražnjenja, tj. u nizovima dana slabe osunčanosti i pri kvaru opreme. Satna simulacija energetskog bilansa za 19 godina (pvlib, PVGIS-SARAH3, 2005–2023) daje očekivani rad agregata od ≈230 h godišnje (u najlošijoj godini do ≈310 h), uz potrošnju goriva od ≈770 l godišnje; spremnik od 500 l dopunjava se u prosjeku dva puta godišnje. Vrijednosti važe uz parametriranje upravljačke jedinice za minimalan rad agregata, propisano Prilogom I TD. Agregat radi u režimu trajne (prime) snage prema ISO 8528-1, sa ulaznom snagom ispravljača ograničenom na 9,5 kW.</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Predmetna nabavka predstavlja DRUGU iteraciju izgradnje autonomnih/off-grid hibridnih sistema napajanja sa podrškom dizel-električnog agregata. Prva takva realizacija izvedena je na lokaciji MILNIŠTE_MIKRO (Glamoč) sa pozitivnim iskustvima, te će zajedno sa njom poslužiti kao referentno rješenje za druge slične objekte bez mogućnosti priključenja na elektroenergetsku mrežu.</w:t>
            </w:r>
          </w:p>
          <w:p>
            <w:pPr>
              <w:pStyle w:val="ListParagraph"/>
              <w:suppressAutoHyphens w:val="false"/>
              <w:ind w:start="0"/>
              <w:jc w:val="both"/>
              <w:rPr>
                <w:rFonts w:ascii="Arial" w:hAnsi="Arial" w:cs="Arial"/>
                <w:b/>
                <w:sz w:val="21"/>
                <w:szCs w:val="21"/>
                <w:lang w:val="bs-BA"/>
              </w:rPr>
            </w:pPr>
            <w:r>
              <w:rPr>
                <w:rFonts w:cs="Arial" w:ascii="Arial" w:hAnsi="Arial"/>
                <w:b/>
                <w:sz w:val="21"/>
                <w:szCs w:val="21"/>
                <w:lang w:val="bs-BA"/>
              </w:rPr>
              <w:t xml:space="preserve">Investicioni program</w:t>
            </w:r>
          </w:p>
          <w:p>
            <w:pPr>
              <w:pStyle w:val="ListParagraph"/>
              <w:suppressAutoHyphens w:val="false"/>
              <w:ind w:start="0"/>
              <w:jc w:val="both"/>
              <w:rPr>
                <w:rFonts w:ascii="Arial" w:hAnsi="Arial" w:cs="Arial"/>
                <w:sz w:val="21"/>
                <w:szCs w:val="21"/>
                <w:lang w:val="bs-BA"/>
              </w:rPr>
            </w:pPr>
            <w:r>
              <w:rPr>
                <w:rFonts w:cs="Arial" w:ascii="Arial" w:hAnsi="Arial"/>
                <w:sz w:val="21"/>
                <w:szCs w:val="21"/>
                <w:highlight w:val="yellow"/>
                <w:lang w:val="bs-BA"/>
              </w:rPr>
              <w:t xml:space="preserve">Za navedeni projekat </w:t>
            </w:r>
            <w:r>
              <w:rPr>
                <w:rFonts w:cs="Arial" w:ascii="Arial" w:hAnsi="Arial"/>
                <w:sz w:val="21"/>
                <w:szCs w:val="21"/>
                <w:highlight w:val="yellow"/>
                <w:lang w:val="bs-BA"/>
              </w:rPr>
              <w:t xml:space="preserve">ne postoji Investivioni program.</w:t>
            </w:r>
          </w:p>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Predmet i obim nabavke </w:t>
            </w:r>
          </w:p>
          <w:p>
            <w:pPr>
              <w:pStyle w:val="Normal"/>
              <w:jc w:val="both"/>
              <w:rPr>
                <w:rFonts w:ascii="Arial" w:hAnsi="Arial" w:cs="Arial"/>
                <w:strike/>
                <w:color w:val="EE0000"/>
                <w:sz w:val="21"/>
                <w:szCs w:val="21"/>
                <w:lang w:val="bs-BA"/>
              </w:rPr>
            </w:pPr>
            <w:r>
              <w:rPr>
                <w:rFonts w:cs="Arial" w:ascii="Arial" w:hAnsi="Arial"/>
                <w:sz w:val="21"/>
                <w:szCs w:val="21"/>
                <w:lang w:val="bs-BA"/>
              </w:rPr>
              <w:t xml:space="preserve">Predmet nabavke je isporuka opreme sa uslugama instalacije i pratećim građevinskim radovima za autonomni hibridni sistem napajanja na baznoj stanici Sjednica (Bileća), za potrebe objekta u vlasništvu BH Telecom d.d. Sarajevo.</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Predviđena je isporuka i instalacija: </w:t>
            </w:r>
            <w:bookmarkStart w:id="7" w:name="_GoBack"/>
            <w:bookmarkEnd w:id="7"/>
          </w:p>
          <w:p>
            <w:pPr>
              <w:pStyle w:val="ListParagraph"/>
              <w:ind w:start="0"/>
              <w:jc w:val="both"/>
              <w:rPr>
                <w:rFonts w:ascii="Arial" w:hAnsi="Arial" w:cs="Arial"/>
                <w:sz w:val="21"/>
                <w:szCs w:val="21"/>
                <w:lang w:val="bs-BA"/>
              </w:rPr>
            </w:pPr>
            <w:r>
              <w:rPr>
                <w:rFonts w:cs="Arial" w:ascii="Arial" w:hAnsi="Arial"/>
                <w:sz w:val="21"/>
                <w:szCs w:val="21"/>
                <w:lang w:val="bs-BA"/>
              </w:rPr>
              <w:t xml:space="preserve">LOT 1 : metalna konstrukcija sa 3 (tri) nosača za fotonaponske panele (ground support) za montažu na tlo, fiksnog nagiba 45° i orijentacije jug (azimut 180°), sa temeljnim trakama, AB pločom, armaturom, prihvatima, ankerima i ostalim spojnim materijalom</w:t>
            </w:r>
          </w:p>
          <w:p>
            <w:pPr>
              <w:pStyle w:val="ListParagraph"/>
              <w:ind w:start="0"/>
              <w:jc w:val="both"/>
              <w:rPr>
                <w:rFonts w:ascii="Arial" w:hAnsi="Arial" w:cs="Arial"/>
                <w:bCs/>
                <w:sz w:val="21"/>
                <w:szCs w:val="21"/>
                <w:lang w:val="bs-BA"/>
              </w:rPr>
            </w:pPr>
            <w:r>
              <w:rPr>
                <w:rFonts w:cs="Arial" w:ascii="Arial" w:hAnsi="Arial"/>
                <w:sz w:val="21"/>
                <w:szCs w:val="21"/>
                <w:lang w:val="bs-BA"/>
              </w:rPr>
              <w:t xml:space="preserve">LOT 2: agregatsko postrojenje sa automatskim dizel električnim agregatom snage 18 kVA / 14,4 kW pri cosφ 0,8, za rad u režimu trajne (prime) snage prema ISO 8528-1, sa ulaznom snagom ispravljača ograničenom na 9,5 kW, kao FG Wilson P18-6 ili ekvivalent, u skid izvedbi za montažu u prostor tj. postojeći kontejner na lokaciji, dvoplašnim spremnikom goriva zapremine 500 l, sa ožičenjem sistema do potpune funcionalnosti i puštanjem u rad.</w:t>
            </w:r>
          </w:p>
          <w:p>
            <w:pPr>
              <w:pStyle w:val="ListParagraph"/>
              <w:ind w:start="0"/>
              <w:jc w:val="both"/>
              <w:rPr>
                <w:rFonts w:ascii="Arial" w:hAnsi="Arial" w:cs="Arial"/>
                <w:sz w:val="21"/>
                <w:szCs w:val="21"/>
                <w:lang w:val="bs-BA"/>
              </w:rPr>
            </w:pPr>
            <w:r>
              <w:rPr>
                <w:rFonts w:cs="Arial" w:ascii="Arial" w:hAnsi="Arial"/>
                <w:sz w:val="21"/>
                <w:szCs w:val="21"/>
                <w:lang w:val="bs-BA"/>
              </w:rPr>
            </w:r>
          </w:p>
        </w:tc>
      </w:tr>
      <w:tr>
        <w:trPr>
          <w:trHeight w:val="2536"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Rizik nenabavke</w:t>
            </w:r>
          </w:p>
          <w:p>
            <w:pPr>
              <w:pStyle w:val="Normal"/>
              <w:jc w:val="both"/>
              <w:rPr>
                <w:rFonts w:ascii="Arial" w:hAnsi="Arial" w:cs="Arial"/>
                <w:sz w:val="21"/>
                <w:szCs w:val="21"/>
                <w:lang w:val="bs-BA"/>
              </w:rPr>
            </w:pPr>
            <w:r>
              <w:rPr>
                <w:rFonts w:cs="Arial" w:ascii="Arial" w:hAnsi="Arial"/>
                <w:sz w:val="21"/>
                <w:szCs w:val="21"/>
                <w:lang w:val="bs-BA"/>
              </w:rPr>
              <w:t xml:space="preserve">U slučaju neodobravanja ove nabavke, objekat Sjednica, Bileća ne može biti pušten u rad, obzirom da lokacija nije priključena na elektroenergetsku mrežu i ne postoji alternativni izvor napajanja. Time bi izostalo planirano pokrivanje šireg područja telekomunikacionim uslugama, kao i uspostava planiranog RR čvorišta.</w:t>
            </w:r>
          </w:p>
          <w:p>
            <w:pPr>
              <w:pStyle w:val="Normal"/>
              <w:jc w:val="both"/>
              <w:rPr>
                <w:rFonts w:ascii="Arial" w:hAnsi="Arial" w:cs="Arial"/>
                <w:sz w:val="21"/>
                <w:szCs w:val="21"/>
                <w:lang w:val="bs-BA"/>
              </w:rPr>
            </w:pPr>
            <w:r>
              <w:rPr>
                <w:rFonts w:cs="Arial" w:ascii="Arial" w:hAnsi="Arial"/>
                <w:sz w:val="21"/>
                <w:szCs w:val="21"/>
                <w:lang w:val="bs-BA"/>
              </w:rPr>
              <w:t xml:space="preserve">Obzirom da instaliranje agregata i fotonaponskih nosača može ovisiti i od pribavljanja dozvola od strane općinskih organa, postoji mogućnost da se za lokaciju ne pribavi neophodna dozvola, opozovu dodijeljeni lokacijski uslovi ili ugovoreni zakup zemljišta, te će se u navedenom slučaju odustati od realizacije.</w:t>
            </w:r>
          </w:p>
          <w:p>
            <w:pPr>
              <w:pStyle w:val="Normal"/>
              <w:suppressAutoHyphens w:val="false"/>
              <w:jc w:val="both"/>
              <w:rPr>
                <w:rFonts w:ascii="Arial" w:hAnsi="Arial" w:cs="Arial"/>
                <w:sz w:val="21"/>
                <w:szCs w:val="21"/>
                <w:highlight w:val="green"/>
                <w:lang w:val="bs-BA"/>
              </w:rPr>
            </w:pPr>
            <w:r>
              <w:rPr>
                <w:rFonts w:cs="Arial" w:ascii="Arial" w:hAnsi="Arial"/>
                <w:sz w:val="21"/>
                <w:szCs w:val="21"/>
                <w:lang w:val="bs-BA" w:eastAsia="en-US"/>
              </w:rPr>
              <w:t xml:space="preserve">Nabavka autonomnog hibridnog sistema napajanja za BS Sjednica nije u koliziji s ostalim projektima i sistemima, niti uslovljava vremenski ili suštinski ostale projekte i sisteme BH Telecom-a.</w:t>
            </w:r>
          </w:p>
        </w:tc>
      </w:tr>
    </w:tbl>
    <w:p>
      <w:pPr>
        <w:pStyle w:val="Normal"/>
        <w:suppressAutoHyphens w:val="false"/>
        <w:jc w:val="both"/>
        <w:rPr>
          <w:rFonts w:ascii="Arial" w:hAnsi="Arial" w:cs="Arial"/>
          <w:sz w:val="21"/>
          <w:szCs w:val="21"/>
          <w:lang w:val="bs-BA"/>
        </w:rPr>
      </w:pPr>
      <w:r>
        <w:rPr>
          <w:rFonts w:cs="Arial" w:ascii="Arial" w:hAnsi="Arial"/>
          <w:sz w:val="21"/>
          <w:szCs w:val="21"/>
          <w:highlight w:val="yellow"/>
          <w:lang w:val="bs-BA"/>
        </w:rPr>
        <w:t xml:space="preserve">Nabavni zahtjev po predmetnoj Odluci je usaglašen između ID TIRS i IDI i bit će pokrenut odmah po usvajanju Odluke od strane Uprave Društva.</w:t>
      </w:r>
    </w:p>
    <w:p>
      <w:pPr>
        <w:pStyle w:val="Normal"/>
        <w:suppressAutoHyphens w:val="false"/>
        <w:jc w:val="both"/>
        <w:rPr>
          <w:rFonts w:ascii="Arial" w:hAnsi="Arial" w:cs="Arial"/>
          <w:sz w:val="21"/>
          <w:szCs w:val="21"/>
          <w:lang w:val="bs-BA"/>
        </w:rPr>
      </w:pPr>
      <w:r>
        <w:rPr>
          <w:rFonts w:cs="Arial" w:ascii="Arial" w:hAnsi="Arial"/>
          <w:sz w:val="21"/>
          <w:szCs w:val="21"/>
          <w:lang w:val="bs-BA"/>
        </w:rPr>
        <w:t xml:space="preserve">Nabavka nije u koliziji s ostalim projektima i sistemima, niti uslovljava vremenski ili suštinski ostale projekte i sisteme BH Telecom-a.</w:t>
      </w:r>
    </w:p>
    <w:p>
      <w:pPr>
        <w:pStyle w:val="Normal"/>
        <w:suppressAutoHyphens w:val="false"/>
        <w:ind w:start="-142"/>
        <w:jc w:val="both"/>
        <w:rPr>
          <w:rFonts w:ascii="Arial" w:hAnsi="Arial" w:cs="Arial"/>
          <w:sz w:val="21"/>
          <w:szCs w:val="21"/>
          <w:lang w:val="bs-BA"/>
        </w:rPr>
      </w:pPr>
      <w:r>
        <w:rPr>
          <w:rFonts w:cs="Arial" w:ascii="Arial" w:hAnsi="Arial"/>
          <w:sz w:val="21"/>
          <w:szCs w:val="21"/>
          <w:lang w:val="bs-BA"/>
        </w:rPr>
      </w:r>
      <w:bookmarkStart w:id="8" w:name="_Hlk225165969"/>
    </w:p>
    <w:tbl>
      <w:tblPr>
        <w:tblW w:w="9639" w:type="dxa"/>
        <w:jc w:val="start"/>
        <w:tblInd w:w="-5" w:type="dxa"/>
        <w:tblLayout w:type="fixed"/>
        <w:tblCellMar>
          <w:top w:w="0" w:type="dxa"/>
          <w:start w:w="108" w:type="dxa"/>
          <w:bottom w:w="0" w:type="dxa"/>
          <w:end w:w="108" w:type="dxa"/>
        </w:tblCellMar>
        <w:tblLook w:val="04a0" w:firstRow="1" w:noVBand="1" w:lastRow="0" w:firstColumn="1" w:lastColumn="0" w:noHBand="0"/>
      </w:tblPr>
      <w:tblGrid>
        <w:gridCol w:w="851"/>
        <w:gridCol w:w="2693"/>
        <w:gridCol w:w="3119"/>
        <w:gridCol w:w="1559"/>
        <w:gridCol w:w="1417"/>
      </w:tblGrid>
      <w:tr>
        <w:trPr>
          <w:trHeight w:val="47" w:hRule="atLeast"/>
        </w:trPr>
        <w:tc>
          <w:tcPr>
            <w:tcW w:w="851"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2693"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caps/>
                <w:sz w:val="18"/>
                <w:szCs w:val="18"/>
                <w:lang w:val="bs-BA" w:eastAsia="bs-BA"/>
              </w:rPr>
            </w:pPr>
            <w:r>
              <w:rPr>
                <w:rFonts w:cs="Arial" w:ascii="Arial" w:hAnsi="Arial"/>
                <w:b/>
                <w:bCs/>
                <w:caps/>
                <w:sz w:val="18"/>
                <w:szCs w:val="18"/>
                <w:lang w:val="bs-BA" w:eastAsia="bs-BA"/>
              </w:rPr>
              <w:t xml:space="preserve">NAZIV ROBE ILI USLUGA</w:t>
            </w:r>
          </w:p>
          <w:p>
            <w:pPr>
              <w:pStyle w:val="Normal"/>
              <w:jc w:val="center"/>
              <w:rPr>
                <w:rFonts w:ascii="Arial" w:hAnsi="Arial" w:cs="Arial"/>
                <w:b/>
                <w:bCs/>
                <w:sz w:val="18"/>
                <w:szCs w:val="18"/>
                <w:lang w:val="bs-BA"/>
              </w:rPr>
            </w:pPr>
            <w:r>
              <w:rPr>
                <w:rFonts w:cs="Arial" w:ascii="Arial" w:hAnsi="Arial"/>
                <w:b/>
                <w:bCs/>
                <w:sz w:val="18"/>
                <w:szCs w:val="18"/>
                <w:lang w:val="bs-BA"/>
              </w:rPr>
            </w:r>
          </w:p>
        </w:tc>
        <w:tc>
          <w:tcPr>
            <w:tcW w:w="311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7"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312"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14.6</w:t>
            </w:r>
          </w:p>
        </w:tc>
        <w:tc>
          <w:tcPr>
            <w:tcW w:w="2693"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highlight w:val="yellow"/>
                <w:lang w:val="bs-BA"/>
              </w:rPr>
              <w:t xml:space="preserve">Sigurnosne platforme za 5G</w:t>
            </w:r>
          </w:p>
        </w:tc>
        <w:tc>
          <w:tcPr>
            <w:tcW w:w="3119" w:type="dxa"/>
            <w:vMerge w:val="restart"/>
            <w:tcBorders>
              <w:top w:val="single" w:sz="4" w:space="0" w:color="000000"/>
              <w:start w:val="single" w:sz="4" w:space="0" w:color="000000"/>
              <w:end w:val="single" w:sz="4" w:space="0" w:color="000000"/>
            </w:tcBorders>
            <w:vAlign w:val="center"/>
          </w:tcPr>
          <w:p>
            <w:pPr>
              <w:pStyle w:val="Default"/>
              <w:rPr>
                <w:color w:val="auto"/>
                <w:sz w:val="18"/>
                <w:szCs w:val="18"/>
                <w:lang w:eastAsia="zh-CN"/>
              </w:rPr>
            </w:pPr>
            <w:r>
              <w:rPr>
                <w:sz w:val="18"/>
                <w:szCs w:val="18"/>
                <w:highlight w:val="yellow"/>
              </w:rPr>
              <w:t xml:space="preserve">Nabavka i instalacija hibridnog sistema napajanja - BS Sjednica</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18.1</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Nadzor i upravljanje energetikom</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Agregatska postrojenja za RR čvorišta - nove lokacije</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239" w:hRule="atLeast"/>
        </w:trPr>
        <w:tc>
          <w:tcPr>
            <w:tcW w:w="6663"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50.000</w:t>
            </w:r>
          </w:p>
        </w:tc>
        <w:tc>
          <w:tcPr>
            <w:tcW w:w="1417"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50.000</w:t>
            </w:r>
            <w:bookmarkStart w:id="9" w:name="_Hlk225145355"/>
            <w:bookmarkEnd w:id="9"/>
          </w:p>
        </w:tc>
      </w:tr>
    </w:tbl>
    <w:p>
      <w:pPr>
        <w:pStyle w:val="Normal"/>
        <w:shd w:val="clear" w:color="auto" w:fill="FFFFFF"/>
        <w:jc w:val="center"/>
        <w:rPr>
          <w:rFonts w:ascii="Arial" w:hAnsi="Arial" w:cs="Arial"/>
          <w:i/>
          <w:sz w:val="20"/>
          <w:szCs w:val="20"/>
          <w:lang w:val="bs-BA" w:eastAsia="en-US"/>
        </w:rPr>
      </w:pPr>
      <w:r>
        <w:rPr>
          <w:rFonts w:cs="Arial" w:ascii="Arial" w:hAnsi="Arial"/>
          <w:i/>
          <w:sz w:val="20"/>
          <w:szCs w:val="20"/>
          <w:lang w:val="bs-BA" w:eastAsia="en-US"/>
        </w:rPr>
        <w:t xml:space="preserve">Tabela 1. Plan finansijske realizacije</w:t>
      </w:r>
    </w:p>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r>
    </w:p>
    <w:p>
      <w:pPr>
        <w:pStyle w:val="Normal"/>
        <w:shd w:val="clear" w:color="auto" w:fill="FFFFFF"/>
        <w:suppressAutoHyphens w:val="false"/>
        <w:ind w:start="-142"/>
        <w:jc w:val="both"/>
        <w:rPr>
          <w:rFonts w:ascii="Arial" w:hAnsi="Arial" w:cs="Arial"/>
          <w:sz w:val="21"/>
          <w:szCs w:val="21"/>
          <w:lang w:val="bs-BA" w:eastAsia="bs-BA"/>
        </w:rPr>
      </w:pPr>
      <w:r>
        <w:rPr>
          <w:rFonts w:cs="Arial" w:ascii="Arial" w:hAnsi="Arial"/>
          <w:sz w:val="21"/>
          <w:szCs w:val="21"/>
          <w:highlight w:val="yellow"/>
          <w:lang w:val="bs-BA" w:eastAsia="bs-BA"/>
        </w:rPr>
        <w:t xml:space="preserve">Napomena: Predmetna nabavka i sredstva za ovaj projekat planirana su novim Planom 2026-2028.g. pod drugim pozicijama, tako da će se vršiti izmjena Odluke, po usvajanju Plana 2026.-2028. godine na sljedeći način:</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1985"/>
        <w:gridCol w:w="3969"/>
        <w:gridCol w:w="1559"/>
        <w:gridCol w:w="1418"/>
      </w:tblGrid>
      <w:tr>
        <w:trPr>
          <w:trHeight w:val="47" w:hRule="atLeast"/>
        </w:trPr>
        <w:tc>
          <w:tcPr>
            <w:tcW w:w="850"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1985"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caps/>
                <w:sz w:val="18"/>
                <w:szCs w:val="18"/>
                <w:lang w:val="bs-BA" w:eastAsia="bs-BA"/>
              </w:rPr>
              <w:t xml:space="preserve">NAZIV ROBE ILI USLUGA</w:t>
            </w:r>
          </w:p>
        </w:tc>
        <w:tc>
          <w:tcPr>
            <w:tcW w:w="396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8"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1539" w:hRule="atLeast"/>
        </w:trPr>
        <w:tc>
          <w:tcPr>
            <w:tcW w:w="850"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1985"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lang w:val="bs-BA"/>
              </w:rPr>
              <w:t xml:space="preserve">Infrastruktura i instalacija opreme za autonomni hibridni sistem napajanja Sjednica, Bileća (LOT 1 i 2)</w:t>
            </w:r>
          </w:p>
        </w:tc>
        <w:tc>
          <w:tcPr>
            <w:tcW w:w="3969" w:type="dxa"/>
            <w:tcBorders>
              <w:top w:val="single" w:sz="4" w:space="0" w:color="000000"/>
              <w:start w:val="single" w:sz="4" w:space="0" w:color="000000"/>
              <w:end w:val="single" w:sz="4" w:space="0" w:color="000000"/>
            </w:tcBorders>
            <w:vAlign w:val="center"/>
          </w:tcPr>
          <w:p>
            <w:pPr>
              <w:pStyle w:val="Default"/>
              <w:rPr>
                <w:sz w:val="18"/>
                <w:szCs w:val="18"/>
              </w:rPr>
            </w:pPr>
            <w:r>
              <w:rPr>
                <w:sz w:val="18"/>
                <w:szCs w:val="18"/>
              </w:rPr>
              <w:t xml:space="preserve">LOT 1 – izgradnja temelja, isporuka i montaža nosača za fotonaponske panele (ground mount support) - 3 kpl,</w:t>
            </w:r>
          </w:p>
          <w:p>
            <w:pPr>
              <w:pStyle w:val="Default"/>
              <w:rPr>
                <w:color w:val="auto"/>
                <w:sz w:val="18"/>
                <w:szCs w:val="18"/>
                <w:lang w:eastAsia="zh-CN"/>
              </w:rPr>
            </w:pPr>
            <w:r>
              <w:rPr>
                <w:sz w:val="18"/>
                <w:szCs w:val="18"/>
              </w:rPr>
              <w:t xml:space="preserve">LOT 2 – isporuka i instalacija agregatskog postrojenja 18 kVA za montažu u kontejner sa spremnikom goriva 500 l, ožičenje, testiranje i puštanje u rad čitavog hibridnog sistema.</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r>
      <w:tr>
        <w:trPr>
          <w:trHeight w:val="239" w:hRule="atLeast"/>
        </w:trPr>
        <w:tc>
          <w:tcPr>
            <w:tcW w:w="6804"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sz w:val="18"/>
                <w:szCs w:val="18"/>
                <w:highlight w:val="yellow"/>
                <w:lang w:val="bs-BA"/>
              </w:rPr>
              <w:t xml:space="preserve">100.000</w:t>
            </w:r>
          </w:p>
        </w:tc>
        <w:tc>
          <w:tcPr>
            <w:tcW w:w="1418"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100.000</w:t>
            </w:r>
          </w:p>
        </w:tc>
      </w:tr>
    </w:tbl>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t xml:space="preserve">Tabela 1. Plan finansijske realizacije</w:t>
      </w:r>
    </w:p>
    <w:p>
      <w:pPr>
        <w:pStyle w:val="Normal"/>
        <w:shd w:val="clear" w:color="auto" w:fill="FFFFFF"/>
        <w:suppressAutoHyphens w:val="false"/>
        <w:spacing w:before="240" w:after="0"/>
        <w:ind w:start="-142"/>
        <w:jc w:val="both"/>
        <w:rPr>
          <w:rFonts w:ascii="Arial" w:hAnsi="Arial" w:cs="Arial"/>
          <w:sz w:val="21"/>
          <w:szCs w:val="21"/>
          <w:lang w:val="bs-BA" w:eastAsia="bs-BA"/>
        </w:rPr>
      </w:pPr>
      <w:r>
        <w:rPr>
          <w:rFonts w:cs="Arial" w:ascii="Arial" w:hAnsi="Arial"/>
          <w:sz w:val="21"/>
          <w:szCs w:val="21"/>
          <w:lang w:val="bs-BA" w:eastAsia="bs-BA"/>
        </w:rPr>
        <w:t xml:space="preserve">Vremenski plan realizacije u 2026.g. prikazan je u Tabeli 2: </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3402"/>
        <w:gridCol w:w="1382"/>
        <w:gridCol w:w="1382"/>
        <w:gridCol w:w="1382"/>
        <w:gridCol w:w="1383"/>
      </w:tblGrid>
      <w:tr>
        <w:trPr>
          <w:trHeight w:val="250" w:hRule="atLeast"/>
        </w:trPr>
        <w:tc>
          <w:tcPr>
            <w:tcW w:w="850"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Rb.</w:t>
            </w:r>
          </w:p>
        </w:tc>
        <w:tc>
          <w:tcPr>
            <w:tcW w:w="3402"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Vrsta aktivnosti</w:t>
            </w:r>
          </w:p>
        </w:tc>
        <w:tc>
          <w:tcPr>
            <w:tcW w:w="5529" w:type="dxa"/>
            <w:gridSpan w:val="4"/>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2026.</w:t>
            </w:r>
          </w:p>
        </w:tc>
      </w:tr>
      <w:tr>
        <w:trPr>
          <w:trHeight w:val="198" w:hRule="atLeast"/>
        </w:trPr>
        <w:tc>
          <w:tcPr>
            <w:tcW w:w="85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340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1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2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3 Q</w:t>
            </w:r>
          </w:p>
        </w:tc>
        <w:tc>
          <w:tcPr>
            <w:tcW w:w="1383"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4 Q</w:t>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1.</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Donošenje Odluke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eastAsia="bs-BA"/>
              </w:rPr>
            </w:pPr>
            <w:r>
              <w:rPr>
                <w:rFonts w:cs="Arial" w:ascii="Arial" w:hAnsi="Arial"/>
                <w:sz w:val="21"/>
                <w:szCs w:val="21"/>
                <w:highlight w:val="yellow"/>
                <w:lang w:val="bs-BA" w:eastAsia="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2.</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Sačinjavanje nabavnog zahtjeva</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rPr>
            </w:pPr>
            <w:r>
              <w:rPr>
                <w:rFonts w:cs="Arial" w:ascii="Arial" w:hAnsi="Arial"/>
                <w:sz w:val="21"/>
                <w:szCs w:val="21"/>
                <w:highlight w:val="yellow"/>
                <w:lang w:val="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3.</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Postupak nabavke i ugovaranje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3"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bl>
    <w:p>
      <w:pPr>
        <w:pStyle w:val="Normal"/>
        <w:jc w:val="center"/>
        <w:rPr>
          <w:rFonts w:ascii="Arial" w:hAnsi="Arial" w:cs="Arial"/>
          <w:b/>
          <w:bCs/>
          <w:sz w:val="21"/>
          <w:szCs w:val="21"/>
          <w:lang w:val="bs-BA"/>
        </w:rPr>
      </w:pPr>
      <w:r>
        <w:rPr>
          <w:rFonts w:cs="Arial" w:ascii="Arial" w:hAnsi="Arial"/>
          <w:i/>
          <w:sz w:val="21"/>
          <w:szCs w:val="21"/>
          <w:lang w:val="bs-BA" w:eastAsia="en-US"/>
        </w:rPr>
        <w:t xml:space="preserve">Tabela 2. Vremenski plan realizacije</w:t>
      </w:r>
    </w:p>
    <w:p>
      <w:pPr>
        <w:pStyle w:val="Default"/>
        <w:ind w:firstLine="142" w:start="-142"/>
        <w:jc w:val="both"/>
        <w:rPr>
          <w:b/>
          <w:color w:val="auto"/>
          <w:sz w:val="21"/>
          <w:szCs w:val="21"/>
          <w:lang w:eastAsia="zh-CN"/>
        </w:rPr>
      </w:pPr>
      <w:r>
        <w:rPr>
          <w:b/>
          <w:color w:val="auto"/>
          <w:sz w:val="21"/>
          <w:szCs w:val="21"/>
          <w:lang w:eastAsia="zh-CN"/>
        </w:rPr>
      </w:r>
    </w:p>
    <w:p>
      <w:pPr>
        <w:pStyle w:val="Default"/>
        <w:jc w:val="both"/>
        <w:rPr>
          <w:b/>
          <w:color w:val="auto"/>
          <w:sz w:val="21"/>
          <w:szCs w:val="21"/>
          <w:lang w:eastAsia="zh-CN"/>
        </w:rPr>
      </w:pPr>
      <w:r>
        <w:rPr>
          <w:b/>
          <w:color w:val="auto"/>
          <w:sz w:val="21"/>
          <w:szCs w:val="21"/>
          <w:lang w:eastAsia="zh-CN"/>
        </w:rPr>
        <w:t xml:space="preserve">U skladu sa navedenim, predlaže se Upravi društva da usvoji Odluku o odobrenju sredstava za nabavku Infrastruktura i instalacija opreme za autonomni hibridni sistem napajanja Sjednica, Bileća (LOT 1 i 2), sa strukturom sredstava prikazanoj u Tabeli 1 i rokom realizacije do 31.12.2026. godine.</w:t>
      </w:r>
      <w:bookmarkEnd w:id="8"/>
    </w:p>
    <w:p>
      <w:pPr>
        <w:pStyle w:val="Default"/>
        <w:ind w:firstLine="142" w:start="-142"/>
        <w:jc w:val="both"/>
        <w:rPr>
          <w:b/>
          <w:color w:val="auto"/>
          <w:sz w:val="21"/>
          <w:szCs w:val="21"/>
          <w:lang w:eastAsia="zh-CN"/>
        </w:rPr>
      </w:pPr>
      <w:r>
        <w:rPr>
          <w:b/>
          <w:color w:val="auto"/>
          <w:sz w:val="21"/>
          <w:szCs w:val="21"/>
          <w:lang w:eastAsia="zh-CN"/>
        </w:rPr>
      </w:r>
    </w:p>
    <w:p>
      <w:pPr>
        <w:pStyle w:val="Normal"/>
        <w:ind w:firstLine="142" w:start="-142"/>
        <w:rPr>
          <w:rFonts w:ascii="Arial" w:hAnsi="Arial" w:cs="Arial"/>
          <w:sz w:val="21"/>
          <w:szCs w:val="21"/>
          <w:lang w:val="bs-BA"/>
        </w:rPr>
      </w:pPr>
      <w:bookmarkStart w:id="10" w:name="_Hlk52348075"/>
      <w:bookmarkStart w:id="11" w:name="_Hlk52348088"/>
      <w:r>
        <w:rPr>
          <w:rFonts w:cs="Arial" w:ascii="Arial" w:hAnsi="Arial"/>
          <w:b/>
          <w:sz w:val="21"/>
          <w:szCs w:val="21"/>
          <w:lang w:val="bs-BA"/>
        </w:rPr>
        <w:t xml:space="preserve">             </w:t>
      </w:r>
      <w:r>
        <w:rPr>
          <w:rFonts w:cs="Arial" w:ascii="Arial" w:hAnsi="Arial"/>
          <w:b/>
          <w:sz w:val="21"/>
          <w:szCs w:val="21"/>
          <w:lang w:val="bs-BA"/>
        </w:rPr>
        <w:t xml:space="preserve">IZVRŠNI DIREKTOR                                                        IZVRŠNI DIREKTOR</w:t>
      </w:r>
    </w:p>
    <w:p>
      <w:pPr>
        <w:pStyle w:val="Normal"/>
        <w:ind w:firstLine="142" w:start="-142"/>
        <w:rPr>
          <w:rFonts w:ascii="Arial" w:hAnsi="Arial" w:cs="Arial"/>
          <w:sz w:val="21"/>
          <w:szCs w:val="21"/>
          <w:lang w:val="bs-BA"/>
        </w:rPr>
      </w:pPr>
      <w:r>
        <w:rPr>
          <w:rFonts w:cs="Arial" w:ascii="Arial" w:hAnsi="Arial"/>
          <w:b/>
          <w:sz w:val="21"/>
          <w:szCs w:val="21"/>
          <w:lang w:val="bs-BA"/>
        </w:rPr>
        <w:t xml:space="preserve">IZVRŠNE DIREKCIJE  ZA TEHNOLOGIJU                    IZVRŠNE DIREKCIJE ZA INVESTICIJE </w:t>
      </w:r>
    </w:p>
    <w:p>
      <w:pPr>
        <w:pStyle w:val="Normal"/>
        <w:ind w:firstLine="142" w:start="-142"/>
        <w:rPr>
          <w:rFonts w:ascii="Arial" w:hAnsi="Arial" w:cs="Arial"/>
          <w:b/>
          <w:sz w:val="21"/>
          <w:szCs w:val="21"/>
          <w:lang w:val="bs-BA"/>
        </w:rPr>
      </w:pPr>
      <w:r>
        <w:rPr>
          <w:rFonts w:eastAsia="Arial" w:cs="Arial" w:ascii="Arial" w:hAnsi="Arial"/>
          <w:b/>
          <w:sz w:val="21"/>
          <w:szCs w:val="21"/>
          <w:lang w:val="bs-BA"/>
        </w:rPr>
        <w:t xml:space="preserve">               </w:t>
      </w:r>
      <w:r>
        <w:rPr>
          <w:rFonts w:cs="Arial" w:ascii="Arial" w:hAnsi="Arial"/>
          <w:b/>
          <w:sz w:val="21"/>
          <w:szCs w:val="21"/>
          <w:lang w:val="bs-BA"/>
        </w:rPr>
        <w:t xml:space="preserve">I RAZVOJ SERVISA</w:t>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Header"/>
        <w:ind w:firstLine="142" w:start="-142"/>
        <w:rPr>
          <w:rFonts w:ascii="Arial" w:hAnsi="Arial" w:cs="Arial"/>
          <w:sz w:val="21"/>
          <w:szCs w:val="21"/>
          <w:lang w:val="bs-BA"/>
        </w:rPr>
      </w:pPr>
      <w:r>
        <w:rPr>
          <w:rFonts w:cs="Arial" w:ascii="Arial" w:hAnsi="Arial"/>
          <w:b/>
          <w:sz w:val="21"/>
          <w:szCs w:val="21"/>
          <w:lang w:val="bs-BA"/>
        </w:rPr>
        <w:t xml:space="preserve">_______________________________                             _______________________________</w:t>
      </w:r>
    </w:p>
    <w:p>
      <w:pPr>
        <w:pStyle w:val="Normal"/>
        <w:ind w:firstLine="142" w:start="-142"/>
        <w:rPr>
          <w:rFonts w:ascii="Arial" w:hAnsi="Arial" w:cs="Arial"/>
          <w:b/>
          <w:sz w:val="21"/>
          <w:szCs w:val="21"/>
          <w:lang w:val="bs-BA"/>
        </w:rPr>
      </w:pPr>
      <w:r>
        <w:rPr>
          <w:rFonts w:cs="Arial" w:ascii="Arial" w:hAnsi="Arial"/>
          <w:b/>
          <w:color w:val="000000"/>
          <w:sz w:val="21"/>
          <w:szCs w:val="21"/>
          <w:lang w:val="bs-BA"/>
        </w:rPr>
        <w:t xml:space="preserve">           </w:t>
      </w:r>
      <w:r>
        <w:rPr>
          <w:rFonts w:cs="Arial" w:ascii="Arial" w:hAnsi="Arial"/>
          <w:b/>
          <w:color w:val="000000"/>
          <w:sz w:val="21"/>
          <w:szCs w:val="21"/>
          <w:lang w:val="bs-BA"/>
        </w:rPr>
        <w:t xml:space="preserve">mr. Muamer Durić, dipl.ing.el.</w:t>
      </w:r>
      <w:r>
        <w:rPr>
          <w:rFonts w:cs="Arial" w:ascii="Arial" w:hAnsi="Arial"/>
          <w:sz w:val="21"/>
          <w:szCs w:val="21"/>
          <w:lang w:val="bs-BA"/>
        </w:rPr>
        <w:t xml:space="preserve"> </w:t>
      </w:r>
      <w:r>
        <w:rPr>
          <w:rFonts w:cs="Arial" w:ascii="Arial" w:hAnsi="Arial"/>
          <w:b/>
          <w:sz w:val="21"/>
          <w:szCs w:val="21"/>
          <w:lang w:val="bs-BA"/>
        </w:rPr>
        <w:t xml:space="preserve">                                                     Saša Palinić</w:t>
      </w:r>
      <w:bookmarkEnd w:id="10"/>
      <w:bookmarkEnd w:id="11"/>
    </w:p>
    <w:sectPr>
      <w:headerReference w:type="even" r:id="rId30"/>
      <w:headerReference w:type="default" r:id="rId31"/>
      <w:headerReference w:type="first" r:id="rId32"/>
      <w:type w:val="nextPage"/>
      <w:pgSz w:w="11906" w:h="16838"/>
      <w:pgMar w:left="1134" w:right="1134" w:gutter="0" w:header="709" w:top="1418" w:footer="0"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Wingdings">
    <w:charset w:val="02"/>
    <w:family w:val="roman"/>
    <w:pitch w:val="variable"/>
  </w:font>
  <w:font w:name="Calibri">
    <w:charset w:val="00" w:characterSet="windows-1252"/>
    <w:family w:val="swiss"/>
    <w:pitch w:val="variable"/>
  </w:font>
  <w:font w:name="Courier New">
    <w:charset w:val="00" w:characterSet="windows-1252"/>
    <w:family w:val="roman"/>
    <w:pitch w:val="variable"/>
  </w:font>
  <w:font w:name="Tahoma">
    <w:charset w:val="00" w:characterSet="windows-1252"/>
    <w:family w:val="swiss"/>
    <w:pitch w:val="variable"/>
  </w:font>
  <w:font w:name="OpenSymbol">
    <w:altName w:val="Arial Unicode MS"/>
    <w:charset w:val="02"/>
    <w:family w:val="roman"/>
    <w:pitch w:val="variable"/>
  </w:font>
  <w:font w:name="Verdana">
    <w:charset w:val="00" w:characterSet="windows-1252"/>
    <w:family w:val="swiss"/>
    <w:pitch w:val="variable"/>
  </w:font>
  <w:font w:name="Arial MT">
    <w:charset w:val="00" w:characterSet="windows-1252"/>
    <w:family w:val="swiss"/>
    <w:pitch w:val="variable"/>
  </w:font>
  <w:font w:name="Wingdings">
    <w:charset w:val="02"/>
    <w:family w:val="auto"/>
    <w:pitch w:val="variable"/>
  </w:font>
  <w:font w:name="Arial">
    <w:charset w:val="01"/>
    <w:family w:val="swiss"/>
    <w:pitch w:val="variable"/>
  </w:font>
  <w:font w:name="Courier New">
    <w:charset w:val="01"/>
    <w:family w:val="modern"/>
    <w:pitch w:val="fixed"/>
  </w:font>
  <w:font w:name="Times New Roman">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align>right</wp:align>
          </wp:positionH>
          <wp:positionV relativeFrom="topMargin">
            <wp:align>center</wp:align>
          </wp:positionV>
          <wp:extent cx="1466850" cy="114300"/>
          <wp:effectExtent l="0" t="0" r="0" b="0"/>
          <wp:wrapNone/>
          <wp:docPr id="34" name="bjCLFRImageEven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jCLFRImageEven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cs="Arial"/>
        <w:b/>
        <w:sz w:val="22"/>
        <w:szCs w:val="22"/>
      </w:rPr>
    </w:pPr>
    <w:r>
      <w:rPr>
        <w:rFonts w:cs="Arial" w:ascii="Arial" w:hAnsi="Arial"/>
        <w:b/>
        <w:sz w:val="22"/>
        <w:szCs w:val="22"/>
      </w:rPr>
      <w:drawing>
        <wp:anchor distT="0" distB="0" distL="0" distR="0" simplePos="0" relativeHeight="7" behindDoc="1" locked="0" layoutInCell="0" allowOverlap="1">
          <wp:simplePos x="0" y="0"/>
          <wp:positionH relativeFrom="margin">
            <wp:align>right</wp:align>
          </wp:positionH>
          <wp:positionV relativeFrom="topMargin">
            <wp:align>center</wp:align>
          </wp:positionV>
          <wp:extent cx="1466850" cy="114300"/>
          <wp:effectExtent l="0" t="0" r="0" b="0"/>
          <wp:wrapNone/>
          <wp:docPr id="35" name="bjCLFRImagePrim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jCLFRImagePrim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rPr>
        <w:rFonts w:cs="Arial" w:ascii="Arial" w:hAnsi="Arial"/>
        <w:b/>
        <w:sz w:val="22"/>
        <w:szCs w:val="22"/>
      </w:rPr>
      <w:t>Izvršna direkcija za investicije</w:t>
    </w:r>
  </w:p>
  <w:p>
    <w:pPr>
      <w:pStyle w:val="Normal"/>
      <w:jc w:val="end"/>
      <w:rPr>
        <w:rFonts w:ascii="Arial" w:hAnsi="Arial" w:cs="Arial"/>
        <w:b/>
        <w:sz w:val="22"/>
        <w:szCs w:val="22"/>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6</w:t>
    </w:r>
    <w:r>
      <w:rPr>
        <w:rFonts w:cs="Arial" w:ascii="Arial" w:hAnsi="Arial"/>
        <w:b/>
        <w:sz w:val="22"/>
        <w:szCs w:val="22"/>
      </w:rPr>
      <w:fldChar w:fldCharType="end"/>
    </w:r>
    <w:r>
      <w:rPr>
        <w:rFonts w:cs="Arial" w:ascii="Arial" w:hAnsi="Arial"/>
        <w:b/>
        <w:sz w:val="22"/>
        <w:szCs w:val="22"/>
      </w:rPr>
      <w:t xml:space="preserve"> od 6</w:t>
    </w:r>
  </w:p>
  <w:p>
    <w:pPr>
      <w:pStyle w:val="Normal"/>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sz w:val="22"/>
        <w:szCs w:val="22"/>
      </w:rPr>
    </w:pPr>
    <w:r>
      <w:rPr>
        <w:rFonts w:cs="Arial" w:ascii="Arial" w:hAnsi="Arial"/>
        <w:b/>
        <w:sz w:val="22"/>
        <w:szCs w:val="22"/>
      </w:rPr>
      <w:drawing>
        <wp:anchor distT="0" distB="0" distL="0" distR="0" simplePos="0" relativeHeight="8" behindDoc="1" locked="0" layoutInCell="0" allowOverlap="1">
          <wp:simplePos x="0" y="0"/>
          <wp:positionH relativeFrom="margin">
            <wp:align>right</wp:align>
          </wp:positionH>
          <wp:positionV relativeFrom="topMargin">
            <wp:align>center</wp:align>
          </wp:positionV>
          <wp:extent cx="1466850" cy="114300"/>
          <wp:effectExtent l="0" t="0" r="0" b="0"/>
          <wp:wrapNone/>
          <wp:docPr id="36" name="bjCLFRImageFirst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jCLFRImageFirst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drawing>
        <wp:anchor distT="0" distB="0" distL="114935" distR="114935" simplePos="0" relativeHeight="2" behindDoc="1" locked="0" layoutInCell="0" allowOverlap="1">
          <wp:simplePos x="0" y="0"/>
          <wp:positionH relativeFrom="margin">
            <wp:posOffset>75565</wp:posOffset>
          </wp:positionH>
          <wp:positionV relativeFrom="margin">
            <wp:posOffset>-832485</wp:posOffset>
          </wp:positionV>
          <wp:extent cx="1121410" cy="664210"/>
          <wp:effectExtent l="0" t="0" r="0" b="0"/>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noChangeArrowheads="1"/>
                  </pic:cNvPicPr>
                </pic:nvPicPr>
                <pic:blipFill>
                  <a:blip r:embed="rId2"/>
                  <a:stretch>
                    <a:fillRect/>
                  </a:stretch>
                </pic:blipFill>
                <pic:spPr bwMode="auto">
                  <a:xfrm>
                    <a:off x="0" y="0"/>
                    <a:ext cx="1121410" cy="664210"/>
                  </a:xfrm>
                  <a:prstGeom prst="rect">
                    <a:avLst/>
                  </a:prstGeom>
                  <a:noFill/>
                </pic:spPr>
              </pic:pic>
            </a:graphicData>
          </a:graphic>
        </wp:anchor>
      </w:drawing>
    </w:r>
    <w:r>
      <w:rPr>
        <w:rFonts w:cs="Arial" w:ascii="Arial" w:hAnsi="Arial"/>
        <w:b/>
        <w:sz w:val="22"/>
        <w:szCs w:val="22"/>
      </w:rPr>
      <w:t xml:space="preserve"> </w:t>
    </w:r>
    <w:r>
      <w:rPr>
        <w:rFonts w:cs="Arial" w:ascii="Arial" w:hAnsi="Arial"/>
        <w:b/>
        <w:sz w:val="22"/>
        <w:szCs w:val="22"/>
      </w:rPr>
      <w:t>Izvršna direkcija za Investicije</w:t>
    </w:r>
  </w:p>
  <w:p>
    <w:pPr>
      <w:pStyle w:val="Normal"/>
      <w:jc w:val="end"/>
      <w:rPr/>
    </w:pPr>
    <w:r>
      <w:rPr>
        <w:rFonts w:cs="Arial" w:ascii="Arial" w:hAnsi="Arial"/>
        <w:b/>
        <w:sz w:val="22"/>
        <w:szCs w:val="22"/>
      </w:rPr>
      <w:t xml:space="preserve">Datum: </w:t>
    </w:r>
    <w:r>
      <w:rPr>
        <w:rFonts w:cs="Arial" w:ascii="Arial" w:hAnsi="Arial"/>
        <w:b/>
        <w:sz w:val="22"/>
        <w:szCs w:val="22"/>
        <w:highlight w:val="yellow"/>
      </w:rPr>
      <w:t>__.__</w:t>
    </w:r>
    <w:r>
      <w:rPr>
        <w:rFonts w:cs="Arial" w:ascii="Arial" w:hAnsi="Arial"/>
        <w:b/>
        <w:sz w:val="22"/>
        <w:szCs w:val="22"/>
      </w:rPr>
      <w:t>.2026. godine</w:t>
    </w:r>
  </w:p>
  <w:p>
    <w:pPr>
      <w:pStyle w:val="Normal"/>
      <w:jc w:val="end"/>
      <w:rPr>
        <w:rFonts w:ascii="Arial" w:hAnsi="Arial" w:cs="Arial"/>
        <w:b/>
        <w:sz w:val="22"/>
        <w:szCs w:val="22"/>
        <w:lang w:val="bs-BA" w:eastAsia="bs-BA"/>
      </w:rPr>
    </w:pPr>
    <w:r>
      <w:rPr>
        <w:rFonts w:cs="Arial" w:ascii="Arial" w:hAnsi="Arial"/>
        <w:b/>
        <w:sz w:val="22"/>
        <w:szCs w:val="22"/>
      </w:rPr>
      <w:t xml:space="preserve">Broj: </w:t>
    </w:r>
    <w:r>
      <w:rPr>
        <w:rFonts w:cs="Arial" w:ascii="Arial" w:hAnsi="Arial"/>
        <w:b/>
        <w:sz w:val="22"/>
        <w:szCs w:val="22"/>
        <w:lang w:val="bs-BA" w:eastAsia="bs-BA"/>
      </w:rPr>
      <w:t>06.1.1.1-14- _</w:t>
    </w:r>
    <w:r>
      <w:rPr>
        <w:rFonts w:cs="Arial" w:ascii="Arial" w:hAnsi="Arial"/>
        <w:b/>
        <w:sz w:val="22"/>
        <w:szCs w:val="22"/>
        <w:highlight w:val="yellow"/>
        <w:lang w:val="bs-BA" w:eastAsia="bs-BA"/>
      </w:rPr>
      <w:t>_____</w:t>
    </w:r>
    <w:r>
      <w:rPr>
        <w:rFonts w:cs="Arial" w:ascii="Arial" w:hAnsi="Arial"/>
        <w:b/>
        <w:sz w:val="22"/>
        <w:szCs w:val="22"/>
        <w:lang w:val="bs-BA" w:eastAsia="bs-BA"/>
      </w:rPr>
      <w:t>-2/26</w:t>
    </w:r>
  </w:p>
  <w:p>
    <w:pPr>
      <w:pStyle w:val="Normal"/>
      <w:jc w:val="end"/>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1</w:t>
    </w:r>
    <w:r>
      <w:rPr>
        <w:rFonts w:cs="Arial" w:ascii="Arial" w:hAnsi="Arial"/>
        <w:b/>
        <w:sz w:val="22"/>
        <w:szCs w:val="22"/>
      </w:rPr>
      <w:fldChar w:fldCharType="end"/>
    </w:r>
    <w:r>
      <w:rPr>
        <w:rFonts w:cs="Arial" w:ascii="Arial" w:hAnsi="Arial"/>
        <w:b/>
        <w:sz w:val="22"/>
        <w:szCs w:val="22"/>
      </w:rPr>
      <w:t xml:space="preserve"> od 7</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432" w:hanging="432"/>
      </w:pPr>
      <w:rPr/>
    </w:lvl>
    <w:lvl w:ilvl="1">
      <w:start w:val="1"/>
      <w:numFmt w:val="bullet"/>
      <w:pStyle w:val="Heading2"/>
      <w:lvlText w:val=""/>
      <w:lvlJc w:val="start"/>
      <w:pPr>
        <w:tabs>
          <w:tab w:val="num" w:pos="1440"/>
        </w:tabs>
        <w:ind w:start="1440" w:hanging="360"/>
      </w:pPr>
      <w:rPr>
        <w:rFonts w:ascii="Wingdings" w:hAnsi="Wingdings" w:cs="Wingdings" w:hint="default"/>
      </w:rPr>
    </w:lvl>
    <w:lvl w:ilvl="2">
      <w:start w:val="1"/>
      <w:numFmt w:val="none"/>
      <w:suff w:val="nothing"/>
      <w:lvlText w:val=""/>
      <w:lvlJc w:val="start"/>
      <w:pPr>
        <w:tabs>
          <w:tab w:val="num" w:pos="0"/>
        </w:tabs>
        <w:ind w:start="720" w:hanging="720"/>
      </w:pPr>
      <w:rPr/>
    </w:lvl>
    <w:lvl w:ilvl="3">
      <w:start w:val="1"/>
      <w:numFmt w:val="none"/>
      <w:suff w:val="nothing"/>
      <w:lvlText w:val=""/>
      <w:lvlJc w:val="start"/>
      <w:pPr>
        <w:tabs>
          <w:tab w:val="num" w:pos="0"/>
        </w:tabs>
        <w:ind w:start="864" w:hanging="864"/>
      </w:pPr>
      <w:rPr/>
    </w:lvl>
    <w:lvl w:ilvl="4">
      <w:start w:val="1"/>
      <w:numFmt w:val="none"/>
      <w:suff w:val="nothing"/>
      <w:lvlText w:val=""/>
      <w:lvlJc w:val="start"/>
      <w:pPr>
        <w:tabs>
          <w:tab w:val="num" w:pos="0"/>
        </w:tabs>
        <w:ind w:start="1008" w:hanging="1008"/>
      </w:pPr>
      <w:rPr/>
    </w:lvl>
    <w:lvl w:ilvl="5">
      <w:start w:val="1"/>
      <w:numFmt w:val="none"/>
      <w:suff w:val="nothing"/>
      <w:lvlText w:val=""/>
      <w:lvlJc w:val="start"/>
      <w:pPr>
        <w:tabs>
          <w:tab w:val="num" w:pos="0"/>
        </w:tabs>
        <w:ind w:start="1152" w:hanging="1152"/>
      </w:pPr>
      <w:rPr/>
    </w:lvl>
    <w:lvl w:ilvl="6">
      <w:start w:val="1"/>
      <w:numFmt w:val="none"/>
      <w:suff w:val="nothing"/>
      <w:lvlText w:val=""/>
      <w:lvlJc w:val="start"/>
      <w:pPr>
        <w:tabs>
          <w:tab w:val="num" w:pos="0"/>
        </w:tabs>
        <w:ind w:start="1296" w:hanging="1296"/>
      </w:pPr>
      <w:rPr/>
    </w:lvl>
    <w:lvl w:ilvl="7">
      <w:start w:val="1"/>
      <w:numFmt w:val="none"/>
      <w:suff w:val="nothing"/>
      <w:lvlText w:val=""/>
      <w:lvlJc w:val="start"/>
      <w:pPr>
        <w:tabs>
          <w:tab w:val="num" w:pos="0"/>
        </w:tabs>
        <w:ind w:start="1440" w:hanging="1440"/>
      </w:pPr>
      <w:rPr/>
    </w:lvl>
    <w:lvl w:ilvl="8">
      <w:start w:val="1"/>
      <w:numFmt w:val="none"/>
      <w:suff w:val="nothing"/>
      <w:lvlText w:val=""/>
      <w:lvlJc w:val="start"/>
      <w:pPr>
        <w:tabs>
          <w:tab w:val="num" w:pos="0"/>
        </w:tabs>
        <w:ind w:start="1584" w:hanging="1584"/>
      </w:pPr>
      <w:rPr/>
    </w:lvl>
  </w:abstractNum>
  <w:abstractNum w:abstractNumId="2">
    <w:lvl w:ilvl="0">
      <w:start w:val="8"/>
      <w:numFmt w:val="bullet"/>
      <w:lvlText w:val="-"/>
      <w:lvlJc w:val="start"/>
      <w:pPr>
        <w:tabs>
          <w:tab w:val="num" w:pos="0"/>
        </w:tabs>
        <w:ind w:start="720" w:hanging="360"/>
      </w:pPr>
      <w:rPr>
        <w:rFonts w:ascii="Arial" w:hAnsi="Arial" w:cs="Arial" w:hint="default"/>
        <w:color w:val="00000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2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bs-Latn-B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bs-BA" w:eastAsia="bs-BA"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f71be0"/>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lang w:val="en-US"/>
    </w:rPr>
  </w:style>
  <w:style w:type="paragraph" w:styleId="Heading2">
    <w:name w:val="heading 2"/>
    <w:basedOn w:val="Normal"/>
    <w:next w:val="Normal"/>
    <w:qFormat/>
    <w:pPr>
      <w:keepNext w:val="true"/>
      <w:numPr>
        <w:ilvl w:val="1"/>
        <w:numId w:val="1"/>
      </w:numPr>
      <w:spacing w:before="240" w:after="60"/>
      <w:outlineLvl w:val="1"/>
    </w:pPr>
    <w:rPr>
      <w:rFonts w:ascii="Cambria" w:hAnsi="Cambria" w:cs="Cambria"/>
      <w:b/>
      <w:bCs/>
      <w:i/>
      <w:iCs/>
      <w:sz w:val="28"/>
      <w:szCs w:val="28"/>
      <w:lang w:val="en-US"/>
    </w:rPr>
  </w:style>
  <w:style w:type="paragraph" w:styleId="Heading3">
    <w:name w:val="heading 3"/>
    <w:basedOn w:val="Normal"/>
    <w:next w:val="Normal"/>
    <w:qFormat/>
    <w:pPr>
      <w:keepNext w:val="true"/>
      <w:outlineLvl w:val="2"/>
    </w:pPr>
    <w:rPr>
      <w:rFonts w:ascii="Arial" w:hAnsi="Arial" w:cs="Arial"/>
      <w:b/>
      <w:bCs/>
      <w:sz w:val="22"/>
      <w:szCs w:val="20"/>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rFonts w:ascii="Wingdings" w:hAnsi="Wingdings" w:cs="Wingdings"/>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Arial" w:hAnsi="Arial" w:cs="Arial"/>
      <w:color w:val="000000"/>
      <w:sz w:val="22"/>
      <w:szCs w:val="22"/>
      <w:lang w:val="hr-HR"/>
    </w:rPr>
  </w:style>
  <w:style w:type="character" w:styleId="WW8Num3z0" w:customStyle="1">
    <w:name w:val="WW8Num3z0"/>
    <w:qFormat/>
    <w:rPr>
      <w:rFonts w:ascii="Arial" w:hAnsi="Arial" w:cs="Arial"/>
      <w:color w:val="000000"/>
      <w:sz w:val="22"/>
      <w:szCs w:val="22"/>
    </w:rPr>
  </w:style>
  <w:style w:type="character" w:styleId="WW8Num4z0" w:customStyle="1">
    <w:name w:val="WW8Num4z0"/>
    <w:qFormat/>
    <w:rPr>
      <w:rFonts w:ascii="Calibri" w:hAnsi="Calibri" w:cs="Calibri"/>
      <w:sz w:val="22"/>
      <w:szCs w:val="22"/>
    </w:rPr>
  </w:style>
  <w:style w:type="character" w:styleId="WW8Num5z0" w:customStyle="1">
    <w:name w:val="WW8Num5z0"/>
    <w:qFormat/>
    <w:rPr>
      <w:rFonts w:ascii="Symbol" w:hAnsi="Symbol" w:cs="Symbol"/>
      <w:sz w:val="18"/>
      <w:szCs w:val="20"/>
    </w:rPr>
  </w:style>
  <w:style w:type="character" w:styleId="DefaultParagraphFont1" w:customStyle="1">
    <w:name w:val="Default Paragraph Font1"/>
    <w:qFormat/>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6z0" w:customStyle="1">
    <w:name w:val="WW8Num6z0"/>
    <w:qFormat/>
    <w:rPr>
      <w:rFonts w:cs="Times New Roman"/>
      <w:sz w:val="24"/>
    </w:rPr>
  </w:style>
  <w:style w:type="character" w:styleId="WW8Num7z0" w:customStyle="1">
    <w:name w:val="WW8Num7z0"/>
    <w:qFormat/>
    <w:rPr>
      <w:rFonts w:ascii="Symbol" w:hAnsi="Symbol" w:cs="Symbol"/>
    </w:rPr>
  </w:style>
  <w:style w:type="character" w:styleId="WW8Num8z0" w:customStyle="1">
    <w:name w:val="WW8Num8z0"/>
    <w:qFormat/>
    <w:rPr>
      <w:rFonts w:ascii="Arial" w:hAnsi="Arial" w:cs="Arial"/>
    </w:rPr>
  </w:style>
  <w:style w:type="character" w:styleId="WW8Num9z0" w:customStyle="1">
    <w:name w:val="WW8Num9z0"/>
    <w:qFormat/>
    <w:rPr/>
  </w:style>
  <w:style w:type="character" w:styleId="WW8Num10z0" w:customStyle="1">
    <w:name w:val="WW8Num10z0"/>
    <w:qFormat/>
    <w:rPr>
      <w:rFonts w:ascii="Arial" w:hAnsi="Arial" w:cs="Arial"/>
    </w:rPr>
  </w:style>
  <w:style w:type="character" w:styleId="WW8Num11z0" w:customStyle="1">
    <w:name w:val="WW8Num11z0"/>
    <w:qFormat/>
    <w:rPr/>
  </w:style>
  <w:style w:type="character" w:styleId="WW8Num12z0" w:customStyle="1">
    <w:name w:val="WW8Num12z0"/>
    <w:qFormat/>
    <w:rPr>
      <w:rFonts w:ascii="Arial" w:hAnsi="Arial" w:cs="Arial"/>
    </w:rPr>
  </w:style>
  <w:style w:type="character" w:styleId="WW8Num13z0" w:customStyle="1">
    <w:name w:val="WW8Num13z0"/>
    <w:qFormat/>
    <w:rPr>
      <w:rFonts w:cs="Times New Roman"/>
      <w:sz w:val="24"/>
    </w:rPr>
  </w:style>
  <w:style w:type="character" w:styleId="WW8Num14z0" w:customStyle="1">
    <w:name w:val="WW8Num14z0"/>
    <w:qFormat/>
    <w:rPr/>
  </w:style>
  <w:style w:type="character" w:styleId="WW8Num14z1" w:customStyle="1">
    <w:name w:val="WW8Num14z1"/>
    <w:qFormat/>
    <w:rPr>
      <w:rFonts w:ascii="Symbol" w:hAnsi="Symbol" w:cs="Symbol"/>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WW8Num15z0" w:customStyle="1">
    <w:name w:val="WW8Num15z0"/>
    <w:qFormat/>
    <w:rPr>
      <w:rFonts w:ascii="Arial" w:hAnsi="Arial" w:eastAsia="Times New Roman" w:cs="Arial"/>
      <w:color w:val="000000"/>
      <w:sz w:val="22"/>
      <w:szCs w:val="22"/>
      <w:lang w:val="hr-HR"/>
    </w:rPr>
  </w:style>
  <w:style w:type="character" w:styleId="WW8Num15z1" w:customStyle="1">
    <w:name w:val="WW8Num15z1"/>
    <w:qFormat/>
    <w:rPr>
      <w:rFonts w:ascii="Courier New" w:hAnsi="Courier New" w:cs="Courier New"/>
    </w:rPr>
  </w:style>
  <w:style w:type="character" w:styleId="WW8Num15z2" w:customStyle="1">
    <w:name w:val="WW8Num15z2"/>
    <w:qFormat/>
    <w:rPr>
      <w:rFonts w:ascii="Wingdings" w:hAnsi="Wingdings" w:cs="Wingdings"/>
    </w:rPr>
  </w:style>
  <w:style w:type="character" w:styleId="WW8Num15z3" w:customStyle="1">
    <w:name w:val="WW8Num15z3"/>
    <w:qFormat/>
    <w:rPr>
      <w:rFonts w:ascii="Symbol" w:hAnsi="Symbol" w:cs="Symbol"/>
    </w:rPr>
  </w:style>
  <w:style w:type="character" w:styleId="WW8Num16z0" w:customStyle="1">
    <w:name w:val="WW8Num16z0"/>
    <w:qFormat/>
    <w:rPr>
      <w:rFonts w:ascii="Arial" w:hAnsi="Arial" w:eastAsia="Times New Roman" w:cs="Arial"/>
      <w:color w:val="000000"/>
      <w:sz w:val="22"/>
      <w:szCs w:val="22"/>
    </w:rPr>
  </w:style>
  <w:style w:type="character" w:styleId="WW8Num16z1" w:customStyle="1">
    <w:name w:val="WW8Num16z1"/>
    <w:qFormat/>
    <w:rPr>
      <w:rFonts w:ascii="Courier New" w:hAnsi="Courier New" w:cs="Courier New"/>
    </w:rPr>
  </w:style>
  <w:style w:type="character" w:styleId="WW8Num16z2" w:customStyle="1">
    <w:name w:val="WW8Num16z2"/>
    <w:qFormat/>
    <w:rPr>
      <w:rFonts w:ascii="Wingdings" w:hAnsi="Wingdings" w:cs="Wingdings"/>
    </w:rPr>
  </w:style>
  <w:style w:type="character" w:styleId="WW8Num16z3" w:customStyle="1">
    <w:name w:val="WW8Num16z3"/>
    <w:qFormat/>
    <w:rPr>
      <w:rFonts w:ascii="Symbol" w:hAnsi="Symbol" w:cs="Symbol"/>
    </w:rPr>
  </w:style>
  <w:style w:type="character" w:styleId="WW8Num17z0" w:customStyle="1">
    <w:name w:val="WW8Num17z0"/>
    <w:qFormat/>
    <w:rPr>
      <w:rFonts w:ascii="Symbol" w:hAnsi="Symbol" w:cs="Symbol"/>
    </w:rPr>
  </w:style>
  <w:style w:type="character" w:styleId="WW8Num17z1" w:customStyle="1">
    <w:name w:val="WW8Num17z1"/>
    <w:qFormat/>
    <w:rPr>
      <w:rFonts w:ascii="Courier New" w:hAnsi="Courier New" w:cs="Courier New"/>
    </w:rPr>
  </w:style>
  <w:style w:type="character" w:styleId="WW8Num17z2" w:customStyle="1">
    <w:name w:val="WW8Num17z2"/>
    <w:qFormat/>
    <w:rPr>
      <w:rFonts w:ascii="Wingdings" w:hAnsi="Wingdings" w:cs="Wingdings"/>
    </w:rPr>
  </w:style>
  <w:style w:type="character" w:styleId="WW8Num18z0" w:customStyle="1">
    <w:name w:val="WW8Num18z0"/>
    <w:qFormat/>
    <w:rPr>
      <w:rFonts w:ascii="Calibri" w:hAnsi="Calibri" w:eastAsia="Calibri" w:cs="Calibri"/>
      <w:sz w:val="22"/>
      <w:szCs w:val="22"/>
    </w:rPr>
  </w:style>
  <w:style w:type="character" w:styleId="WW8Num18z1" w:customStyle="1">
    <w:name w:val="WW8Num18z1"/>
    <w:qFormat/>
    <w:rPr>
      <w:rFonts w:ascii="Courier New" w:hAnsi="Courier New" w:cs="Courier New"/>
    </w:rPr>
  </w:style>
  <w:style w:type="character" w:styleId="WW8Num18z2" w:customStyle="1">
    <w:name w:val="WW8Num18z2"/>
    <w:qFormat/>
    <w:rPr>
      <w:rFonts w:ascii="Wingdings" w:hAnsi="Wingdings" w:cs="Wingdings"/>
    </w:rPr>
  </w:style>
  <w:style w:type="character" w:styleId="WW8Num18z3" w:customStyle="1">
    <w:name w:val="WW8Num18z3"/>
    <w:qFormat/>
    <w:rPr>
      <w:rFonts w:ascii="Symbol" w:hAnsi="Symbol" w:cs="Symbol"/>
    </w:rPr>
  </w:style>
  <w:style w:type="character" w:styleId="WW8Num19z0" w:customStyle="1">
    <w:name w:val="WW8Num19z0"/>
    <w:qFormat/>
    <w:rPr>
      <w:rFonts w:ascii="Symbol" w:hAnsi="Symbol" w:cs="Symbol"/>
      <w:sz w:val="18"/>
      <w:szCs w:val="20"/>
    </w:rPr>
  </w:style>
  <w:style w:type="character" w:styleId="WW8Num19z1" w:customStyle="1">
    <w:name w:val="WW8Num19z1"/>
    <w:qFormat/>
    <w:rPr>
      <w:rFonts w:ascii="Courier New" w:hAnsi="Courier New" w:cs="Courier New"/>
    </w:rPr>
  </w:style>
  <w:style w:type="character" w:styleId="WW8Num19z2" w:customStyle="1">
    <w:name w:val="WW8Num19z2"/>
    <w:qFormat/>
    <w:rPr>
      <w:rFonts w:ascii="Wingdings" w:hAnsi="Wingdings" w:cs="Wingdings"/>
    </w:rPr>
  </w:style>
  <w:style w:type="character" w:styleId="WW8Num20z0" w:customStyle="1">
    <w:name w:val="WW8Num20z0"/>
    <w:qFormat/>
    <w:rPr/>
  </w:style>
  <w:style w:type="character" w:styleId="WW8Num20z1" w:customStyle="1">
    <w:name w:val="WW8Num20z1"/>
    <w:qFormat/>
    <w:rPr>
      <w:rFonts w:ascii="Wingdings" w:hAnsi="Wingdings" w:cs="Wingdings"/>
    </w:rPr>
  </w:style>
  <w:style w:type="character" w:styleId="WW8Num20z2" w:customStyle="1">
    <w:name w:val="WW8Num20z2"/>
    <w:qFormat/>
    <w:rPr>
      <w:rFonts w:ascii="Arial" w:hAnsi="Arial" w:eastAsia="Times New Roman" w:cs="Arial"/>
    </w:rPr>
  </w:style>
  <w:style w:type="character" w:styleId="WW8Num20z3" w:customStyle="1">
    <w:name w:val="WW8Num20z3"/>
    <w:qFormat/>
    <w:rPr/>
  </w:style>
  <w:style w:type="character" w:styleId="WW8Num20z4" w:customStyle="1">
    <w:name w:val="WW8Num20z4"/>
    <w:qFormat/>
    <w:rPr/>
  </w:style>
  <w:style w:type="character" w:styleId="WW8Num20z5" w:customStyle="1">
    <w:name w:val="WW8Num20z5"/>
    <w:qFormat/>
    <w:rPr/>
  </w:style>
  <w:style w:type="character" w:styleId="WW8Num20z6" w:customStyle="1">
    <w:name w:val="WW8Num20z6"/>
    <w:qFormat/>
    <w:rPr/>
  </w:style>
  <w:style w:type="character" w:styleId="WW8Num20z7" w:customStyle="1">
    <w:name w:val="WW8Num20z7"/>
    <w:qFormat/>
    <w:rPr/>
  </w:style>
  <w:style w:type="character" w:styleId="WW8Num20z8" w:customStyle="1">
    <w:name w:val="WW8Num20z8"/>
    <w:qFormat/>
    <w:rPr/>
  </w:style>
  <w:style w:type="character" w:styleId="WW-DefaultParagraphFont" w:customStyle="1">
    <w:name w:val="WW-Default Paragraph Font"/>
    <w:qFormat/>
    <w:rPr/>
  </w:style>
  <w:style w:type="character" w:styleId="normaltextsmall" w:customStyle="1">
    <w:name w:val="normaltextsmall"/>
    <w:basedOn w:val="WW-DefaultParagraphFont"/>
    <w:qFormat/>
    <w:rPr/>
  </w:style>
  <w:style w:type="character" w:styleId="HeaderChar" w:customStyle="1">
    <w:name w:val="Header Char"/>
    <w:qFormat/>
    <w:rPr>
      <w:sz w:val="24"/>
      <w:szCs w:val="24"/>
      <w:lang w:val="hr-HR" w:bidi="ar-SA"/>
    </w:rPr>
  </w:style>
  <w:style w:type="character" w:styleId="CommentReference">
    <w:name w:val="annotation reference"/>
    <w:qFormat/>
    <w:rPr>
      <w:sz w:val="16"/>
      <w:szCs w:val="16"/>
    </w:rPr>
  </w:style>
  <w:style w:type="character" w:styleId="TitleChar" w:customStyle="1">
    <w:name w:val="Title Char"/>
    <w:qFormat/>
    <w:rPr>
      <w:rFonts w:ascii="Cambria" w:hAnsi="Cambria" w:eastAsia="Times New Roman" w:cs="Times New Roman"/>
      <w:b/>
      <w:bCs/>
      <w:kern w:val="2"/>
      <w:sz w:val="32"/>
      <w:szCs w:val="32"/>
      <w:lang w:val="hr-HR"/>
    </w:rPr>
  </w:style>
  <w:style w:type="character" w:styleId="Heading2Char" w:customStyle="1">
    <w:name w:val="Heading 2 Char"/>
    <w:qFormat/>
    <w:rPr>
      <w:rFonts w:ascii="Cambria" w:hAnsi="Cambria" w:cs="Cambria"/>
      <w:b/>
      <w:bCs/>
      <w:i/>
      <w:iCs/>
      <w:sz w:val="28"/>
      <w:szCs w:val="28"/>
      <w:lang w:val="en-US" w:eastAsia="zh-CN"/>
    </w:rPr>
  </w:style>
  <w:style w:type="character" w:styleId="WW8Num13z1" w:customStyle="1">
    <w:name w:val="WW8Num13z1"/>
    <w:qFormat/>
    <w:rPr>
      <w:rFonts w:ascii="Courier New" w:hAnsi="Courier New" w:cs="Courier New"/>
    </w:rPr>
  </w:style>
  <w:style w:type="character" w:styleId="WW8Num13z2" w:customStyle="1">
    <w:name w:val="WW8Num13z2"/>
    <w:qFormat/>
    <w:rPr>
      <w:rFonts w:ascii="Wingdings" w:hAnsi="Wingdings" w:cs="Wingdings"/>
    </w:rPr>
  </w:style>
  <w:style w:type="character" w:styleId="WW8Num13z3" w:customStyle="1">
    <w:name w:val="WW8Num13z3"/>
    <w:qFormat/>
    <w:rPr>
      <w:rFonts w:ascii="Symbol" w:hAnsi="Symbol" w:cs="Symbol"/>
    </w:rPr>
  </w:style>
  <w:style w:type="character" w:styleId="WW8Num22z0" w:customStyle="1">
    <w:name w:val="WW8Num22z0"/>
    <w:qFormat/>
    <w:rPr>
      <w:rFonts w:cs="Times New Roman"/>
      <w:sz w:val="24"/>
    </w:rPr>
  </w:style>
  <w:style w:type="character" w:styleId="WW8Num23z0" w:customStyle="1">
    <w:name w:val="WW8Num23z0"/>
    <w:qFormat/>
    <w:rPr>
      <w:rFonts w:ascii="Symbol" w:hAnsi="Symbol" w:cs="Symbol"/>
    </w:rPr>
  </w:style>
  <w:style w:type="character" w:styleId="WW8Num23z1" w:customStyle="1">
    <w:name w:val="WW8Num23z1"/>
    <w:qFormat/>
    <w:rPr>
      <w:rFonts w:ascii="Courier New" w:hAnsi="Courier New" w:cs="Courier New"/>
    </w:rPr>
  </w:style>
  <w:style w:type="character" w:styleId="WW8Num23z2" w:customStyle="1">
    <w:name w:val="WW8Num23z2"/>
    <w:qFormat/>
    <w:rPr>
      <w:rFonts w:ascii="Wingdings" w:hAnsi="Wingdings" w:cs="Wingdings"/>
    </w:rPr>
  </w:style>
  <w:style w:type="character" w:styleId="WW8Num30z0" w:customStyle="1">
    <w:name w:val="WW8Num30z0"/>
    <w:qFormat/>
    <w:rPr>
      <w:rFonts w:ascii="Arial" w:hAnsi="Arial" w:eastAsia="Times New Roman" w:cs="Arial"/>
    </w:rPr>
  </w:style>
  <w:style w:type="character" w:styleId="WW8Num30z1" w:customStyle="1">
    <w:name w:val="WW8Num30z1"/>
    <w:qFormat/>
    <w:rPr>
      <w:rFonts w:ascii="Courier New" w:hAnsi="Courier New" w:cs="Courier New"/>
    </w:rPr>
  </w:style>
  <w:style w:type="character" w:styleId="WW8Num30z2" w:customStyle="1">
    <w:name w:val="WW8Num30z2"/>
    <w:qFormat/>
    <w:rPr>
      <w:rFonts w:ascii="Wingdings" w:hAnsi="Wingdings" w:cs="Wingdings"/>
    </w:rPr>
  </w:style>
  <w:style w:type="character" w:styleId="WW8Num30z3" w:customStyle="1">
    <w:name w:val="WW8Num30z3"/>
    <w:qFormat/>
    <w:rPr>
      <w:rFonts w:ascii="Symbol" w:hAnsi="Symbol" w:cs="Symbol"/>
    </w:rPr>
  </w:style>
  <w:style w:type="character" w:styleId="WW8Num31z0" w:customStyle="1">
    <w:name w:val="WW8Num31z0"/>
    <w:qFormat/>
    <w:rPr>
      <w:rFonts w:ascii="Arial" w:hAnsi="Arial" w:eastAsia="Times New Roman" w:cs="Arial"/>
    </w:rPr>
  </w:style>
  <w:style w:type="character" w:styleId="WW8Num31z1" w:customStyle="1">
    <w:name w:val="WW8Num31z1"/>
    <w:qFormat/>
    <w:rPr>
      <w:rFonts w:ascii="Courier New" w:hAnsi="Courier New" w:cs="Courier New"/>
    </w:rPr>
  </w:style>
  <w:style w:type="character" w:styleId="WW8Num31z2" w:customStyle="1">
    <w:name w:val="WW8Num31z2"/>
    <w:qFormat/>
    <w:rPr>
      <w:rFonts w:ascii="Wingdings" w:hAnsi="Wingdings" w:cs="Wingdings"/>
    </w:rPr>
  </w:style>
  <w:style w:type="character" w:styleId="WW8Num31z3" w:customStyle="1">
    <w:name w:val="WW8Num31z3"/>
    <w:qFormat/>
    <w:rPr>
      <w:rFonts w:ascii="Symbol" w:hAnsi="Symbol" w:cs="Symbol"/>
    </w:rPr>
  </w:style>
  <w:style w:type="character" w:styleId="WW8Num33z0" w:customStyle="1">
    <w:name w:val="WW8Num33z0"/>
    <w:qFormat/>
    <w:rPr>
      <w:rFonts w:ascii="Arial" w:hAnsi="Arial" w:eastAsia="Times New Roman" w:cs="Arial"/>
    </w:rPr>
  </w:style>
  <w:style w:type="character" w:styleId="WW8Num37z0" w:customStyle="1">
    <w:name w:val="WW8Num37z0"/>
    <w:qFormat/>
    <w:rPr>
      <w:rFonts w:ascii="Arial" w:hAnsi="Arial" w:eastAsia="Times New Roman" w:cs="Arial"/>
    </w:rPr>
  </w:style>
  <w:style w:type="character" w:styleId="WW8Num37z1" w:customStyle="1">
    <w:name w:val="WW8Num37z1"/>
    <w:qFormat/>
    <w:rPr>
      <w:rFonts w:ascii="Courier New" w:hAnsi="Courier New" w:cs="Courier New"/>
    </w:rPr>
  </w:style>
  <w:style w:type="character" w:styleId="WW8Num37z2" w:customStyle="1">
    <w:name w:val="WW8Num37z2"/>
    <w:qFormat/>
    <w:rPr>
      <w:rFonts w:ascii="Wingdings" w:hAnsi="Wingdings" w:cs="Wingdings"/>
    </w:rPr>
  </w:style>
  <w:style w:type="character" w:styleId="WW8Num37z3" w:customStyle="1">
    <w:name w:val="WW8Num37z3"/>
    <w:qFormat/>
    <w:rPr>
      <w:rFonts w:ascii="Symbol" w:hAnsi="Symbol" w:cs="Symbol"/>
    </w:rPr>
  </w:style>
  <w:style w:type="character" w:styleId="WW8Num38z0" w:customStyle="1">
    <w:name w:val="WW8Num38z0"/>
    <w:qFormat/>
    <w:rPr>
      <w:rFonts w:ascii="Arial" w:hAnsi="Arial" w:eastAsia="Times New Roman" w:cs="Arial"/>
    </w:rPr>
  </w:style>
  <w:style w:type="character" w:styleId="WW8Num38z1" w:customStyle="1">
    <w:name w:val="WW8Num38z1"/>
    <w:qFormat/>
    <w:rPr>
      <w:rFonts w:ascii="Courier New" w:hAnsi="Courier New" w:cs="Courier New"/>
    </w:rPr>
  </w:style>
  <w:style w:type="character" w:styleId="WW8Num38z2" w:customStyle="1">
    <w:name w:val="WW8Num38z2"/>
    <w:qFormat/>
    <w:rPr>
      <w:rFonts w:ascii="Wingdings" w:hAnsi="Wingdings" w:cs="Wingdings"/>
    </w:rPr>
  </w:style>
  <w:style w:type="character" w:styleId="WW8Num38z3" w:customStyle="1">
    <w:name w:val="WW8Num38z3"/>
    <w:qFormat/>
    <w:rPr>
      <w:rFonts w:ascii="Symbol" w:hAnsi="Symbol" w:cs="Symbol"/>
    </w:rPr>
  </w:style>
  <w:style w:type="character" w:styleId="WW8Num40z0" w:customStyle="1">
    <w:name w:val="WW8Num40z0"/>
    <w:qFormat/>
    <w:rPr>
      <w:rFonts w:ascii="Arial" w:hAnsi="Arial" w:eastAsia="Times New Roman" w:cs="Arial"/>
    </w:rPr>
  </w:style>
  <w:style w:type="character" w:styleId="WW8Num40z1" w:customStyle="1">
    <w:name w:val="WW8Num40z1"/>
    <w:qFormat/>
    <w:rPr>
      <w:rFonts w:ascii="Courier New" w:hAnsi="Courier New" w:cs="Courier New"/>
    </w:rPr>
  </w:style>
  <w:style w:type="character" w:styleId="WW8Num40z2" w:customStyle="1">
    <w:name w:val="WW8Num40z2"/>
    <w:qFormat/>
    <w:rPr>
      <w:rFonts w:ascii="Wingdings" w:hAnsi="Wingdings" w:cs="Wingdings"/>
    </w:rPr>
  </w:style>
  <w:style w:type="character" w:styleId="WW8Num40z3" w:customStyle="1">
    <w:name w:val="WW8Num40z3"/>
    <w:qFormat/>
    <w:rPr>
      <w:rFonts w:ascii="Symbol" w:hAnsi="Symbol" w:cs="Symbol"/>
    </w:rPr>
  </w:style>
  <w:style w:type="character" w:styleId="WW8Num41z0" w:customStyle="1">
    <w:name w:val="WW8Num41z0"/>
    <w:qFormat/>
    <w:rPr>
      <w:rFonts w:cs="Times New Roman"/>
      <w:sz w:val="24"/>
    </w:rPr>
  </w:style>
  <w:style w:type="character" w:styleId="WW8Num42z1" w:customStyle="1">
    <w:name w:val="WW8Num42z1"/>
    <w:qFormat/>
    <w:rPr>
      <w:rFonts w:ascii="Symbol" w:hAnsi="Symbol" w:cs="Symbol"/>
    </w:rPr>
  </w:style>
  <w:style w:type="character" w:styleId="Heading1Char" w:customStyle="1">
    <w:name w:val="Heading 1 Char"/>
    <w:qFormat/>
    <w:rPr>
      <w:rFonts w:ascii="Cambria" w:hAnsi="Cambria" w:eastAsia="Times New Roman" w:cs="Times New Roman"/>
      <w:b/>
      <w:bCs/>
      <w:kern w:val="2"/>
      <w:sz w:val="32"/>
      <w:szCs w:val="32"/>
      <w:lang w:val="en-US"/>
    </w:rPr>
  </w:style>
  <w:style w:type="character" w:styleId="WW8Num4z1" w:customStyle="1">
    <w:name w:val="WW8Num4z1"/>
    <w:qFormat/>
    <w:rPr>
      <w:rFonts w:ascii="Symbol" w:hAnsi="Symbol" w:eastAsia="Times New Roman" w:cs="Arial"/>
    </w:rPr>
  </w:style>
  <w:style w:type="character" w:styleId="WW8Num4z2" w:customStyle="1">
    <w:name w:val="WW8Num4z2"/>
    <w:qFormat/>
    <w:rPr>
      <w:rFonts w:ascii="Wingdings" w:hAnsi="Wingdings" w:cs="Wingdings"/>
    </w:rPr>
  </w:style>
  <w:style w:type="character" w:styleId="WW8Num4z3" w:customStyle="1">
    <w:name w:val="WW8Num4z3"/>
    <w:qFormat/>
    <w:rPr>
      <w:rFonts w:ascii="Symbol" w:hAnsi="Symbol" w:cs="Symbol"/>
    </w:rPr>
  </w:style>
  <w:style w:type="character" w:styleId="WW8Num4z4" w:customStyle="1">
    <w:name w:val="WW8Num4z4"/>
    <w:qFormat/>
    <w:rPr>
      <w:rFonts w:ascii="Courier New" w:hAnsi="Courier New" w:cs="Courier New"/>
    </w:rPr>
  </w:style>
  <w:style w:type="character" w:styleId="WW8Num5z1" w:customStyle="1">
    <w:name w:val="WW8Num5z1"/>
    <w:qFormat/>
    <w:rPr>
      <w:rFonts w:ascii="Courier New" w:hAnsi="Courier New" w:cs="Courier New"/>
    </w:rPr>
  </w:style>
  <w:style w:type="character" w:styleId="WW8Num5z2" w:customStyle="1">
    <w:name w:val="WW8Num5z2"/>
    <w:qFormat/>
    <w:rPr>
      <w:rFonts w:ascii="Wingdings" w:hAnsi="Wingdings" w:cs="Wingdings"/>
    </w:rPr>
  </w:style>
  <w:style w:type="character" w:styleId="WW8Num5z3" w:customStyle="1">
    <w:name w:val="WW8Num5z3"/>
    <w:qFormat/>
    <w:rPr>
      <w:rFonts w:ascii="Symbol" w:hAnsi="Symbol" w:cs="Symbol"/>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9z1" w:customStyle="1">
    <w:name w:val="WW8Num9z1"/>
    <w:qFormat/>
    <w:rPr>
      <w:rFonts w:ascii="Courier New" w:hAnsi="Courier New" w:cs="Courier New"/>
    </w:rPr>
  </w:style>
  <w:style w:type="character" w:styleId="WW8Num9z2" w:customStyle="1">
    <w:name w:val="WW8Num9z2"/>
    <w:qFormat/>
    <w:rPr>
      <w:rFonts w:ascii="Wingdings" w:hAnsi="Wingdings" w:cs="Wingdings"/>
    </w:rPr>
  </w:style>
  <w:style w:type="character" w:styleId="WW8Num10z1" w:customStyle="1">
    <w:name w:val="WW8Num10z1"/>
    <w:qFormat/>
    <w:rPr>
      <w:rFonts w:ascii="Courier New" w:hAnsi="Courier New" w:cs="Courier New"/>
    </w:rPr>
  </w:style>
  <w:style w:type="character" w:styleId="WW8Num10z2" w:customStyle="1">
    <w:name w:val="WW8Num10z2"/>
    <w:qFormat/>
    <w:rPr>
      <w:rFonts w:ascii="Wingdings" w:hAnsi="Wingdings" w:cs="Wingdings"/>
    </w:rPr>
  </w:style>
  <w:style w:type="character" w:styleId="WW8Num11z1" w:customStyle="1">
    <w:name w:val="WW8Num11z1"/>
    <w:qFormat/>
    <w:rPr>
      <w:rFonts w:ascii="Courier New" w:hAnsi="Courier New" w:cs="Courier New"/>
    </w:rPr>
  </w:style>
  <w:style w:type="character" w:styleId="WW8Num11z2" w:customStyle="1">
    <w:name w:val="WW8Num11z2"/>
    <w:qFormat/>
    <w:rPr>
      <w:rFonts w:ascii="Wingdings" w:hAnsi="Wingdings" w:cs="Wingdings"/>
    </w:rPr>
  </w:style>
  <w:style w:type="character" w:styleId="WW8Num11z3" w:customStyle="1">
    <w:name w:val="WW8Num11z3"/>
    <w:qFormat/>
    <w:rPr>
      <w:rFonts w:ascii="Symbol" w:hAnsi="Symbol" w:cs="Symbol"/>
    </w:rPr>
  </w:style>
  <w:style w:type="character" w:styleId="WW8Num12z1" w:customStyle="1">
    <w:name w:val="WW8Num12z1"/>
    <w:qFormat/>
    <w:rPr>
      <w:rFonts w:ascii="Courier New" w:hAnsi="Courier New" w:cs="Courier New"/>
    </w:rPr>
  </w:style>
  <w:style w:type="character" w:styleId="WW8Num12z2" w:customStyle="1">
    <w:name w:val="WW8Num12z2"/>
    <w:qFormat/>
    <w:rPr>
      <w:rFonts w:ascii="Wingdings" w:hAnsi="Wingdings" w:cs="Wingdings"/>
    </w:rPr>
  </w:style>
  <w:style w:type="character" w:styleId="WW8Num17z3" w:customStyle="1">
    <w:name w:val="WW8Num17z3"/>
    <w:qFormat/>
    <w:rPr>
      <w:rFonts w:ascii="Symbol" w:hAnsi="Symbol" w:cs="Symbol"/>
    </w:rPr>
  </w:style>
  <w:style w:type="character" w:styleId="WW8Num19z3" w:customStyle="1">
    <w:name w:val="WW8Num19z3"/>
    <w:qFormat/>
    <w:rPr>
      <w:rFonts w:ascii="Symbol" w:hAnsi="Symbol" w:cs="Symbol"/>
    </w:rPr>
  </w:style>
  <w:style w:type="character" w:styleId="Heading3Char" w:customStyle="1">
    <w:name w:val="Heading 3 Char"/>
    <w:qFormat/>
    <w:rPr>
      <w:rFonts w:ascii="Arial" w:hAnsi="Arial" w:cs="Arial"/>
      <w:b/>
      <w:bCs/>
      <w:sz w:val="26"/>
      <w:szCs w:val="26"/>
      <w:lang w:val="hr-BA"/>
    </w:rPr>
  </w:style>
  <w:style w:type="character" w:styleId="BodyTextChar" w:customStyle="1">
    <w:name w:val="Body Text Char"/>
    <w:qFormat/>
    <w:rPr>
      <w:rFonts w:ascii="Arial" w:hAnsi="Arial" w:cs="Arial"/>
      <w:sz w:val="22"/>
      <w:szCs w:val="22"/>
      <w:lang w:val="hr-HR"/>
    </w:rPr>
  </w:style>
  <w:style w:type="character" w:styleId="PageNumber">
    <w:name w:val="page number"/>
    <w:rPr/>
  </w:style>
  <w:style w:type="character" w:styleId="Hyperlink">
    <w:name w:val="Hyperlink"/>
    <w:rPr>
      <w:color w:val="0000FF"/>
      <w:u w:val="single"/>
    </w:rPr>
  </w:style>
  <w:style w:type="character" w:styleId="Emphasis">
    <w:name w:val="Emphasis"/>
    <w:qFormat/>
    <w:rPr>
      <w:i/>
      <w:iCs/>
    </w:rPr>
  </w:style>
  <w:style w:type="character" w:styleId="CommentTextChar" w:customStyle="1">
    <w:name w:val="Comment Text Char"/>
    <w:qFormat/>
    <w:rPr>
      <w:lang w:val="en-US"/>
    </w:rPr>
  </w:style>
  <w:style w:type="character" w:styleId="CommentSubjectChar" w:customStyle="1">
    <w:name w:val="Comment Subject Char"/>
    <w:qFormat/>
    <w:rPr>
      <w:b/>
      <w:bCs/>
      <w:lang w:val="en-US"/>
    </w:rPr>
  </w:style>
  <w:style w:type="character" w:styleId="FooterChar" w:customStyle="1">
    <w:name w:val="Footer Char"/>
    <w:qFormat/>
    <w:rPr>
      <w:rFonts w:ascii="Arial" w:hAnsi="Arial" w:cs="Arial"/>
      <w:sz w:val="22"/>
      <w:szCs w:val="24"/>
      <w:lang w:val="en-US"/>
    </w:rPr>
  </w:style>
  <w:style w:type="character" w:styleId="BalloonTextChar" w:customStyle="1">
    <w:name w:val="Balloon Text Char"/>
    <w:qFormat/>
    <w:rPr>
      <w:rFonts w:ascii="Tahoma" w:hAnsi="Tahoma" w:cs="Tahoma"/>
      <w:sz w:val="16"/>
      <w:szCs w:val="16"/>
      <w:lang w:val="en-US"/>
    </w:rPr>
  </w:style>
  <w:style w:type="character" w:styleId="FollowedHyperlink">
    <w:name w:val="FollowedHyperlink"/>
    <w:rPr>
      <w:color w:val="800080"/>
      <w:u w:val="single"/>
    </w:rPr>
  </w:style>
  <w:style w:type="character" w:styleId="apple-style-span" w:customStyle="1">
    <w:name w:val="apple-style-span"/>
    <w:qFormat/>
    <w:rPr/>
  </w:style>
  <w:style w:type="character" w:styleId="apple-converted-space" w:customStyle="1">
    <w:name w:val="apple-converted-space"/>
    <w:qFormat/>
    <w:rPr/>
  </w:style>
  <w:style w:type="character" w:styleId="Strong">
    <w:name w:val="Strong"/>
    <w:qFormat/>
    <w:rPr>
      <w:b/>
      <w:bCs/>
    </w:rPr>
  </w:style>
  <w:style w:type="character" w:styleId="Bulletsuser" w:customStyle="1">
    <w:name w:val="Bullets (user)"/>
    <w:qFormat/>
    <w:rPr>
      <w:rFonts w:ascii="OpenSymbol" w:hAnsi="OpenSymbol" w:eastAsia="OpenSymbol" w:cs="OpenSymbol"/>
    </w:rPr>
  </w:style>
  <w:style w:type="character" w:styleId="CommentTextChar1" w:customStyle="1">
    <w:name w:val="Comment Text Char1"/>
    <w:qFormat/>
    <w:rPr>
      <w:lang w:val="en-US" w:eastAsia="zh-CN"/>
    </w:rPr>
  </w:style>
  <w:style w:type="character" w:styleId="CommentSubjectChar1" w:customStyle="1">
    <w:name w:val="Comment Subject Char1"/>
    <w:qFormat/>
    <w:rPr>
      <w:b/>
      <w:bCs/>
      <w:lang w:val="en-US" w:eastAsia="zh-CN"/>
    </w:rPr>
  </w:style>
  <w:style w:type="character" w:styleId="WW8Num1zfalse" w:customStyle="1">
    <w:name w:val="WW8Num1zfalse"/>
    <w:qFormat/>
    <w:rPr/>
  </w:style>
  <w:style w:type="character" w:styleId="WW8Num1ztrue" w:customStyle="1">
    <w:name w:val="WW8Num1ztrue"/>
    <w:qFormat/>
    <w:rPr/>
  </w:style>
  <w:style w:type="character" w:styleId="WW8Num2zfalse" w:customStyle="1">
    <w:name w:val="WW8Num2zfalse"/>
    <w:qFormat/>
    <w:rPr/>
  </w:style>
  <w:style w:type="character" w:styleId="WW8Num2ztrue" w:customStyle="1">
    <w:name w:val="WW8Num2ztrue"/>
    <w:qFormat/>
    <w:rPr/>
  </w:style>
  <w:style w:type="character" w:styleId="WW8Num9zfalse" w:customStyle="1">
    <w:name w:val="WW8Num9zfalse"/>
    <w:qFormat/>
    <w:rPr/>
  </w:style>
  <w:style w:type="character" w:styleId="WW8Num12zfalse" w:customStyle="1">
    <w:name w:val="WW8Num12zfalse"/>
    <w:qFormat/>
    <w:rPr/>
  </w:style>
  <w:style w:type="character" w:styleId="WW8Num12ztrue" w:customStyle="1">
    <w:name w:val="WW8Num12ztrue"/>
    <w:qFormat/>
    <w:rPr/>
  </w:style>
  <w:style w:type="character" w:styleId="WW8Num21z0" w:customStyle="1">
    <w:name w:val="WW8Num21z0"/>
    <w:qFormat/>
    <w:rPr>
      <w:b/>
      <w:sz w:val="24"/>
    </w:rPr>
  </w:style>
  <w:style w:type="character" w:styleId="WW8Num21z1" w:customStyle="1">
    <w:name w:val="WW8Num21z1"/>
    <w:qFormat/>
    <w:rPr>
      <w:rFonts w:ascii="Courier New" w:hAnsi="Courier New" w:cs="Courier New"/>
    </w:rPr>
  </w:style>
  <w:style w:type="character" w:styleId="WW8Num21z2" w:customStyle="1">
    <w:name w:val="WW8Num21z2"/>
    <w:qFormat/>
    <w:rPr>
      <w:rFonts w:ascii="Wingdings" w:hAnsi="Wingdings" w:cs="Wingdings"/>
    </w:rPr>
  </w:style>
  <w:style w:type="character" w:styleId="WW8Num21z3" w:customStyle="1">
    <w:name w:val="WW8Num21z3"/>
    <w:qFormat/>
    <w:rPr>
      <w:rFonts w:ascii="Symbol" w:hAnsi="Symbol" w:cs="Symbol"/>
    </w:rPr>
  </w:style>
  <w:style w:type="character" w:styleId="WW8Num22z1" w:customStyle="1">
    <w:name w:val="WW8Num22z1"/>
    <w:qFormat/>
    <w:rPr>
      <w:rFonts w:ascii="Courier New" w:hAnsi="Courier New" w:cs="Courier New"/>
    </w:rPr>
  </w:style>
  <w:style w:type="character" w:styleId="WW8Num22z2" w:customStyle="1">
    <w:name w:val="WW8Num22z2"/>
    <w:qFormat/>
    <w:rPr>
      <w:rFonts w:ascii="Wingdings" w:hAnsi="Wingdings" w:cs="Wingdings"/>
    </w:rPr>
  </w:style>
  <w:style w:type="character" w:styleId="WW8Num24z0" w:customStyle="1">
    <w:name w:val="WW8Num24z0"/>
    <w:qFormat/>
    <w:rPr>
      <w:rFonts w:ascii="Arial" w:hAnsi="Arial" w:eastAsia="Times New Roman" w:cs="Arial"/>
    </w:rPr>
  </w:style>
  <w:style w:type="character" w:styleId="WW8Num24z1" w:customStyle="1">
    <w:name w:val="WW8Num24z1"/>
    <w:qFormat/>
    <w:rPr>
      <w:rFonts w:ascii="Courier New" w:hAnsi="Courier New" w:cs="Courier New"/>
    </w:rPr>
  </w:style>
  <w:style w:type="character" w:styleId="WW8Num24z2" w:customStyle="1">
    <w:name w:val="WW8Num24z2"/>
    <w:qFormat/>
    <w:rPr>
      <w:rFonts w:ascii="Wingdings" w:hAnsi="Wingdings" w:cs="Wingdings"/>
    </w:rPr>
  </w:style>
  <w:style w:type="character" w:styleId="WW8Num24z3" w:customStyle="1">
    <w:name w:val="WW8Num24z3"/>
    <w:qFormat/>
    <w:rPr>
      <w:rFonts w:ascii="Symbol" w:hAnsi="Symbol" w:cs="Symbol"/>
    </w:rPr>
  </w:style>
  <w:style w:type="character" w:styleId="WW8Num26z0" w:customStyle="1">
    <w:name w:val="WW8Num26z0"/>
    <w:qFormat/>
    <w:rPr>
      <w:rFonts w:ascii="Symbol" w:hAnsi="Symbol" w:cs="Symbol"/>
    </w:rPr>
  </w:style>
  <w:style w:type="character" w:styleId="WW8Num26z1" w:customStyle="1">
    <w:name w:val="WW8Num26z1"/>
    <w:qFormat/>
    <w:rPr>
      <w:rFonts w:ascii="Courier New" w:hAnsi="Courier New" w:cs="Courier New"/>
    </w:rPr>
  </w:style>
  <w:style w:type="character" w:styleId="WW8Num26z2" w:customStyle="1">
    <w:name w:val="WW8Num26z2"/>
    <w:qFormat/>
    <w:rPr>
      <w:rFonts w:ascii="Wingdings" w:hAnsi="Wingdings" w:cs="Wingdings"/>
    </w:rPr>
  </w:style>
  <w:style w:type="character" w:styleId="WW8Num27z0" w:customStyle="1">
    <w:name w:val="WW8Num27z0"/>
    <w:qFormat/>
    <w:rPr>
      <w:rFonts w:ascii="Symbol" w:hAnsi="Symbol" w:cs="Symbol"/>
    </w:rPr>
  </w:style>
  <w:style w:type="character" w:styleId="WW8Num27z1" w:customStyle="1">
    <w:name w:val="WW8Num27z1"/>
    <w:qFormat/>
    <w:rPr>
      <w:rFonts w:ascii="Courier New" w:hAnsi="Courier New" w:cs="Courier New"/>
    </w:rPr>
  </w:style>
  <w:style w:type="character" w:styleId="WW8Num27z2" w:customStyle="1">
    <w:name w:val="WW8Num27z2"/>
    <w:qFormat/>
    <w:rPr>
      <w:rFonts w:ascii="Wingdings" w:hAnsi="Wingdings" w:cs="Wingdings"/>
    </w:rPr>
  </w:style>
  <w:style w:type="character" w:styleId="WW8Num29z0" w:customStyle="1">
    <w:name w:val="WW8Num29z0"/>
    <w:qFormat/>
    <w:rPr>
      <w:rFonts w:ascii="Symbol" w:hAnsi="Symbol" w:cs="Symbol"/>
    </w:rPr>
  </w:style>
  <w:style w:type="character" w:styleId="WW8Num29z1" w:customStyle="1">
    <w:name w:val="WW8Num29z1"/>
    <w:qFormat/>
    <w:rPr>
      <w:rFonts w:ascii="Courier New" w:hAnsi="Courier New" w:cs="Courier New"/>
    </w:rPr>
  </w:style>
  <w:style w:type="character" w:styleId="WW8Num29z2" w:customStyle="1">
    <w:name w:val="WW8Num29z2"/>
    <w:qFormat/>
    <w:rPr>
      <w:rFonts w:ascii="Wingdings" w:hAnsi="Wingdings" w:cs="Wingdings"/>
    </w:rPr>
  </w:style>
  <w:style w:type="character" w:styleId="WW8Num32z0" w:customStyle="1">
    <w:name w:val="WW8Num32z0"/>
    <w:qFormat/>
    <w:rPr>
      <w:rFonts w:ascii="Symbol" w:hAnsi="Symbol" w:cs="Symbol"/>
    </w:rPr>
  </w:style>
  <w:style w:type="character" w:styleId="WW8Num32z1" w:customStyle="1">
    <w:name w:val="WW8Num32z1"/>
    <w:qFormat/>
    <w:rPr>
      <w:rFonts w:ascii="Courier New" w:hAnsi="Courier New" w:cs="Courier New"/>
    </w:rPr>
  </w:style>
  <w:style w:type="character" w:styleId="WW8Num32z2" w:customStyle="1">
    <w:name w:val="WW8Num32z2"/>
    <w:qFormat/>
    <w:rPr>
      <w:rFonts w:ascii="Wingdings" w:hAnsi="Wingdings" w:cs="Wingdings"/>
    </w:rPr>
  </w:style>
  <w:style w:type="character" w:styleId="WW-DefaultParagraphFont1" w:customStyle="1">
    <w:name w:val="WW-Default Paragraph Font1"/>
    <w:qFormat/>
    <w:rPr/>
  </w:style>
  <w:style w:type="character" w:styleId="WW-DefaultParagraphFont11" w:customStyle="1">
    <w:name w:val="WW-Default Paragraph Font11"/>
    <w:qFormat/>
    <w:rPr/>
  </w:style>
  <w:style w:type="character" w:styleId="NumberingSymbols" w:customStyle="1">
    <w:name w:val="Numbering Symbols"/>
    <w:qFormat/>
    <w:rPr/>
  </w:style>
  <w:style w:type="character" w:styleId="IndexLink" w:customStyle="1">
    <w:name w:val="Index Link"/>
    <w:qFormat/>
    <w:rPr/>
  </w:style>
  <w:style w:type="character" w:styleId="FootnoteTextChar" w:customStyle="1">
    <w:name w:val="Footnote Text Char"/>
    <w:qFormat/>
    <w:rPr>
      <w:lang w:val="hr-HR"/>
    </w:rPr>
  </w:style>
  <w:style w:type="character" w:styleId="FootnoteCharactersuser" w:customStyle="1">
    <w:name w:val="Footnote Characters (user)"/>
    <w:qFormat/>
    <w:rPr>
      <w:vertAlign w:val="superscript"/>
    </w:rPr>
  </w:style>
  <w:style w:type="character" w:styleId="RegtextChar" w:customStyle="1">
    <w:name w:val="Reg text Char"/>
    <w:qFormat/>
    <w:rPr>
      <w:rFonts w:ascii="Arial" w:hAnsi="Arial" w:cs="Arial"/>
      <w:sz w:val="22"/>
      <w:szCs w:val="24"/>
    </w:rPr>
  </w:style>
  <w:style w:type="character" w:styleId="PlaceholderText">
    <w:name w:val="Placeholder Text"/>
    <w:qFormat/>
    <w:rPr>
      <w:color w:val="808080"/>
    </w:rPr>
  </w:style>
  <w:style w:type="character" w:styleId="FONormalChar" w:customStyle="1">
    <w:name w:val="FO Normal Char"/>
    <w:qFormat/>
    <w:rPr>
      <w:rFonts w:ascii="Calibri" w:hAnsi="Calibri" w:cs="Calibri"/>
      <w:sz w:val="22"/>
      <w:szCs w:val="22"/>
      <w:lang w:val="hr-HR"/>
    </w:rPr>
  </w:style>
  <w:style w:type="character" w:styleId="PlainTextChar" w:customStyle="1">
    <w:name w:val="Plain Text Char"/>
    <w:qFormat/>
    <w:rPr>
      <w:rFonts w:ascii="Calibri" w:hAnsi="Calibri" w:eastAsia="Calibri" w:cs="Calibri"/>
      <w:sz w:val="22"/>
      <w:szCs w:val="21"/>
      <w:lang w:val="en-US"/>
    </w:rPr>
  </w:style>
  <w:style w:type="character" w:styleId="ListParagraphChar" w:customStyle="1">
    <w:name w:val="List Paragraph Char"/>
    <w:link w:val="ListParagraph"/>
    <w:uiPriority w:val="34"/>
    <w:qFormat/>
    <w:rsid w:val="00f363ae"/>
    <w:rPr>
      <w:sz w:val="24"/>
      <w:szCs w:val="24"/>
      <w:lang w:val="en-US" w:eastAsia="zh-CN"/>
    </w:rPr>
  </w:style>
  <w:style w:type="character" w:styleId="NoSpacingChar" w:customStyle="1">
    <w:name w:val="No Spacing Char"/>
    <w:link w:val="NoSpacing"/>
    <w:uiPriority w:val="1"/>
    <w:qFormat/>
    <w:rsid w:val="00361672"/>
    <w:rPr>
      <w:sz w:val="24"/>
      <w:szCs w:val="24"/>
      <w:lang w:val="hr-HR" w:eastAsia="zh-CN"/>
    </w:rPr>
  </w:style>
  <w:style w:type="paragraph" w:styleId="Heading" w:customStyle="1">
    <w:name w:val="Heading"/>
    <w:basedOn w:val="Normal"/>
    <w:next w:val="Normal"/>
    <w:qFormat/>
    <w:pPr>
      <w:spacing w:before="240" w:after="60"/>
      <w:jc w:val="center"/>
    </w:pPr>
    <w:rPr>
      <w:rFonts w:ascii="Cambria" w:hAnsi="Cambria" w:cs="Cambria"/>
      <w:b/>
      <w:bCs/>
      <w:kern w:val="2"/>
      <w:sz w:val="32"/>
      <w:szCs w:val="32"/>
    </w:rPr>
  </w:style>
  <w:style w:type="paragraph" w:styleId="BodyText">
    <w:name w:val="Body Text"/>
    <w:basedOn w:val="Normal"/>
    <w:pPr>
      <w:jc w:val="both"/>
    </w:pPr>
    <w:rPr>
      <w:rFonts w:ascii="Arial" w:hAnsi="Arial" w:cs="Arial"/>
      <w:bCs/>
      <w:sz w:val="22"/>
    </w:rPr>
  </w:style>
  <w:style w:type="paragraph" w:styleId="List">
    <w:name w:val="List"/>
    <w:basedOn w:val="BodyText"/>
    <w:pPr>
      <w:spacing w:before="120" w:after="0"/>
    </w:pPr>
    <w:rPr>
      <w:rFonts w:cs="Tahoma"/>
      <w:bCs w:val="false"/>
      <w:szCs w:val="22"/>
    </w:rPr>
  </w:style>
  <w:style w:type="paragraph" w:styleId="Caption">
    <w:name w:val="caption"/>
    <w:basedOn w:val="Normal"/>
    <w:qFormat/>
    <w:pPr>
      <w:suppressLineNumbers/>
      <w:spacing w:before="120" w:after="120"/>
    </w:pPr>
    <w:rPr>
      <w:rFonts w:cs="Tahoma"/>
      <w:i/>
      <w:iCs/>
      <w:lang w:val="en-US"/>
    </w:rPr>
  </w:style>
  <w:style w:type="paragraph" w:styleId="Index" w:customStyle="1">
    <w:name w:val="Index"/>
    <w:basedOn w:val="Normal"/>
    <w:qFormat/>
    <w:pPr>
      <w:suppressLineNumbers/>
    </w:pPr>
    <w:rPr>
      <w:rFonts w:cs="Tahoma"/>
      <w:lang w:val="en-US"/>
    </w:rPr>
  </w:style>
  <w:style w:type="paragraph" w:styleId="HeaderandFooter">
    <w:name w:val="Header and Footer"/>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BodyText2">
    <w:name w:val="Body Text 2"/>
    <w:basedOn w:val="Normal"/>
    <w:qFormat/>
    <w:pPr>
      <w:spacing w:lineRule="auto" w:line="480" w:before="0" w:after="120"/>
    </w:pPr>
    <w:rPr>
      <w:lang w:val="bs-BA"/>
    </w:rPr>
  </w:style>
  <w:style w:type="paragraph" w:styleId="normalnumbering" w:customStyle="1">
    <w:name w:val="normalnumbering"/>
    <w:basedOn w:val="Normal"/>
    <w:qFormat/>
    <w:pPr>
      <w:spacing w:before="280" w:after="280"/>
    </w:pPr>
    <w:rPr>
      <w:lang w:val="en-US"/>
    </w:rPr>
  </w:style>
  <w:style w:type="paragraph" w:styleId="BalloonText">
    <w:name w:val="Balloon Text"/>
    <w:basedOn w:val="Normal"/>
    <w:qFormat/>
    <w:rsid w:val="00f71be0"/>
    <w:pPr/>
    <w:rPr>
      <w:rFonts w:ascii="Arial" w:hAnsi="Arial" w:cs="Tahoma"/>
      <w:sz w:val="20"/>
      <w:szCs w:val="16"/>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
    <w:name w:val="Body Text Indent"/>
    <w:basedOn w:val="Normal"/>
    <w:pPr>
      <w:spacing w:before="0" w:after="120"/>
      <w:ind w:start="283"/>
    </w:pPr>
    <w:rPr/>
  </w:style>
  <w:style w:type="paragraph" w:styleId="NoSpacing">
    <w:name w:val="No Spacing"/>
    <w:link w:val="NoSpacingChar"/>
    <w:uiPriority w:val="1"/>
    <w:qFormat/>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WW-Heading" w:customStyle="1">
    <w:name w:val="WW-Heading"/>
    <w:basedOn w:val="Normal"/>
    <w:next w:val="BodyText"/>
    <w:qFormat/>
    <w:pPr>
      <w:keepNext w:val="true"/>
      <w:spacing w:before="240" w:after="120"/>
    </w:pPr>
    <w:rPr>
      <w:rFonts w:ascii="Arial" w:hAnsi="Arial" w:eastAsia="Lucida Sans Unicode" w:cs="Tahoma"/>
      <w:sz w:val="28"/>
      <w:szCs w:val="28"/>
      <w:lang w:val="en-US"/>
    </w:rPr>
  </w:style>
  <w:style w:type="paragraph" w:styleId="Heading3Verdana" w:customStyle="1">
    <w:name w:val="Heading 3 + Verdana"/>
    <w:basedOn w:val="Heading3"/>
    <w:qFormat/>
    <w:pPr>
      <w:spacing w:before="240" w:after="60"/>
    </w:pPr>
    <w:rPr>
      <w:sz w:val="26"/>
      <w:szCs w:val="26"/>
      <w:lang w:val="it-IT"/>
    </w:rPr>
  </w:style>
  <w:style w:type="paragraph" w:styleId="Heading4Verdana" w:customStyle="1">
    <w:name w:val="Heading 4 + Verdana"/>
    <w:basedOn w:val="Heading3Verdana"/>
    <w:qFormat/>
    <w:pPr/>
    <w:rPr/>
  </w:style>
  <w:style w:type="paragraph" w:styleId="TOC1">
    <w:name w:val="toc 1"/>
    <w:basedOn w:val="Normal"/>
    <w:next w:val="Normal"/>
    <w:pPr/>
    <w:rPr>
      <w:lang w:val="hr-BA"/>
    </w:rPr>
  </w:style>
  <w:style w:type="paragraph" w:styleId="TOC2">
    <w:name w:val="toc 2"/>
    <w:basedOn w:val="Normal"/>
    <w:next w:val="Normal"/>
    <w:pPr>
      <w:ind w:start="240"/>
    </w:pPr>
    <w:rPr>
      <w:lang w:val="hr-BA"/>
    </w:rPr>
  </w:style>
  <w:style w:type="paragraph" w:styleId="TOC3">
    <w:name w:val="toc 3"/>
    <w:basedOn w:val="Normal"/>
    <w:next w:val="Normal"/>
    <w:pPr>
      <w:ind w:start="480"/>
    </w:pPr>
    <w:rPr>
      <w:lang w:val="hr-BA"/>
    </w:rPr>
  </w:style>
  <w:style w:type="paragraph" w:styleId="small" w:customStyle="1">
    <w:name w:val="small"/>
    <w:qFormat/>
    <w:pPr>
      <w:widowControl/>
      <w:suppressAutoHyphens w:val="true"/>
      <w:bidi w:val="0"/>
      <w:spacing w:before="0" w:after="0"/>
      <w:jc w:val="start"/>
    </w:pPr>
    <w:rPr>
      <w:rFonts w:ascii="Verdana" w:hAnsi="Verdana" w:eastAsia="Verdana" w:cs="Verdana"/>
      <w:color w:val="auto"/>
      <w:kern w:val="0"/>
      <w:sz w:val="2"/>
      <w:szCs w:val="2"/>
      <w:lang w:val="en-US" w:eastAsia="zh-CN" w:bidi="ar-SA"/>
    </w:rPr>
  </w:style>
  <w:style w:type="paragraph" w:styleId="TOC4">
    <w:name w:val="toc 4"/>
    <w:basedOn w:val="Index"/>
    <w:pPr>
      <w:tabs>
        <w:tab w:val="clear" w:pos="709"/>
        <w:tab w:val="right" w:pos="9123" w:leader="dot"/>
      </w:tabs>
      <w:ind w:start="849"/>
    </w:pPr>
    <w:rPr/>
  </w:style>
  <w:style w:type="paragraph" w:styleId="TOC5">
    <w:name w:val="toc 5"/>
    <w:basedOn w:val="Index"/>
    <w:pPr>
      <w:tabs>
        <w:tab w:val="clear" w:pos="709"/>
        <w:tab w:val="right" w:pos="8840" w:leader="dot"/>
      </w:tabs>
      <w:ind w:start="1132"/>
    </w:pPr>
    <w:rPr/>
  </w:style>
  <w:style w:type="paragraph" w:styleId="TOC6">
    <w:name w:val="toc 6"/>
    <w:basedOn w:val="Index"/>
    <w:pPr>
      <w:tabs>
        <w:tab w:val="clear" w:pos="709"/>
        <w:tab w:val="right" w:pos="8557" w:leader="dot"/>
      </w:tabs>
      <w:ind w:start="1415"/>
    </w:pPr>
    <w:rPr/>
  </w:style>
  <w:style w:type="paragraph" w:styleId="TOC7">
    <w:name w:val="toc 7"/>
    <w:basedOn w:val="Index"/>
    <w:pPr>
      <w:tabs>
        <w:tab w:val="clear" w:pos="709"/>
        <w:tab w:val="right" w:pos="8274" w:leader="dot"/>
      </w:tabs>
      <w:ind w:start="1698"/>
    </w:pPr>
    <w:rPr/>
  </w:style>
  <w:style w:type="paragraph" w:styleId="TOC8">
    <w:name w:val="toc 8"/>
    <w:basedOn w:val="Index"/>
    <w:pPr>
      <w:tabs>
        <w:tab w:val="clear" w:pos="709"/>
        <w:tab w:val="right" w:pos="7991" w:leader="dot"/>
      </w:tabs>
      <w:ind w:start="1981"/>
    </w:pPr>
    <w:rPr/>
  </w:style>
  <w:style w:type="paragraph" w:styleId="TOC9">
    <w:name w:val="toc 9"/>
    <w:basedOn w:val="Index"/>
    <w:pPr>
      <w:tabs>
        <w:tab w:val="clear" w:pos="709"/>
        <w:tab w:val="right" w:pos="7708" w:leader="dot"/>
      </w:tabs>
      <w:ind w:start="2264"/>
    </w:pPr>
    <w:rPr/>
  </w:style>
  <w:style w:type="paragraph" w:styleId="Contents10" w:customStyle="1">
    <w:name w:val="Contents 10"/>
    <w:basedOn w:val="Index"/>
    <w:qFormat/>
    <w:pPr>
      <w:tabs>
        <w:tab w:val="clear" w:pos="709"/>
        <w:tab w:val="right" w:pos="7425" w:leader="dot"/>
      </w:tabs>
      <w:ind w:start="2547"/>
    </w:pPr>
    <w:rPr/>
  </w:style>
  <w:style w:type="paragraph" w:styleId="TableContents" w:customStyle="1">
    <w:name w:val="Table Contents"/>
    <w:basedOn w:val="Normal"/>
    <w:qFormat/>
    <w:pPr>
      <w:suppressLineNumbers/>
    </w:pPr>
    <w:rPr>
      <w:lang w:val="en-US"/>
    </w:rPr>
  </w:style>
  <w:style w:type="paragraph" w:styleId="TableHeading" w:customStyle="1">
    <w:name w:val="Table Heading"/>
    <w:basedOn w:val="TableContents"/>
    <w:qFormat/>
    <w:pPr>
      <w:jc w:val="center"/>
    </w:pPr>
    <w:rPr>
      <w:b/>
      <w:bCs/>
    </w:rPr>
  </w:style>
  <w:style w:type="paragraph" w:styleId="Style11" w:customStyle="1">
    <w:name w:val="Style1"/>
    <w:basedOn w:val="Heading1"/>
    <w:qFormat/>
    <w:pPr>
      <w:tabs>
        <w:tab w:val="clear" w:pos="709"/>
        <w:tab w:val="left" w:pos="432" w:leader="none"/>
      </w:tabs>
      <w:ind w:hanging="432" w:start="432"/>
    </w:pPr>
    <w:rPr>
      <w:iCs/>
      <w:lang w:val="hr-BA"/>
    </w:rPr>
  </w:style>
  <w:style w:type="paragraph" w:styleId="CommentText">
    <w:name w:val="annotation text"/>
    <w:basedOn w:val="Normal"/>
    <w:pPr/>
    <w:rPr>
      <w:sz w:val="20"/>
      <w:szCs w:val="20"/>
      <w:lang w:val="en-US"/>
    </w:rPr>
  </w:style>
  <w:style w:type="paragraph" w:styleId="NormalWeb">
    <w:name w:val="Normal (Web)"/>
    <w:basedOn w:val="Normal"/>
    <w:uiPriority w:val="99"/>
    <w:qFormat/>
    <w:pPr>
      <w:spacing w:before="280" w:after="280"/>
    </w:pPr>
    <w:rPr>
      <w:lang w:val="bs-BA"/>
    </w:rPr>
  </w:style>
  <w:style w:type="paragraph" w:styleId="annotationsubject">
    <w:name w:val="annotation subject"/>
    <w:basedOn w:val="CommentText"/>
    <w:next w:val="CommentText"/>
    <w:qFormat/>
    <w:pPr/>
    <w:rPr>
      <w:b/>
      <w:bCs/>
    </w:rPr>
  </w:style>
  <w:style w:type="paragraph" w:styleId="ListParagraph">
    <w:name w:val="List Paragraph"/>
    <w:basedOn w:val="Normal"/>
    <w:link w:val="ListParagraphChar"/>
    <w:uiPriority w:val="34"/>
    <w:qFormat/>
    <w:pPr>
      <w:ind w:start="708"/>
    </w:pPr>
    <w:rPr>
      <w:lang w:val="en-US"/>
    </w:rPr>
  </w:style>
  <w:style w:type="paragraph" w:styleId="Style21" w:customStyle="1">
    <w:name w:val="Style2"/>
    <w:basedOn w:val="Heading3"/>
    <w:qFormat/>
    <w:pPr>
      <w:tabs>
        <w:tab w:val="clear" w:pos="709"/>
        <w:tab w:val="left" w:pos="720" w:leader="none"/>
      </w:tabs>
      <w:ind w:hanging="720" w:start="720"/>
    </w:pPr>
    <w:rPr>
      <w:szCs w:val="18"/>
      <w:lang w:val="en-GB"/>
    </w:rPr>
  </w:style>
  <w:style w:type="paragraph" w:styleId="FrameContents" w:customStyle="1">
    <w:name w:val="Frame Contents"/>
    <w:basedOn w:val="BodyText"/>
    <w:qFormat/>
    <w:pPr/>
    <w:rPr/>
  </w:style>
  <w:style w:type="paragraph" w:styleId="FrameContentsuser" w:customStyle="1">
    <w:name w:val="Frame Contents (user)"/>
    <w:basedOn w:val="BodyText"/>
    <w:qFormat/>
    <w:pPr/>
    <w:rPr/>
  </w:style>
  <w:style w:type="paragraph" w:styleId="text" w:customStyle="1">
    <w:name w:val="text"/>
    <w:basedOn w:val="Normal"/>
    <w:qFormat/>
    <w:pPr>
      <w:spacing w:before="45" w:after="120"/>
      <w:ind w:start="225" w:end="150"/>
    </w:pPr>
    <w:rPr>
      <w:rFonts w:ascii="Tahoma" w:hAnsi="Tahoma" w:cs="Tahoma"/>
      <w:color w:val="000000"/>
      <w:sz w:val="20"/>
      <w:szCs w:val="20"/>
      <w:lang w:val="bs-BA"/>
    </w:rPr>
  </w:style>
  <w:style w:type="paragraph" w:styleId="FootnoteText">
    <w:name w:val="footnote text"/>
    <w:basedOn w:val="Normal"/>
    <w:pPr/>
    <w:rPr>
      <w:sz w:val="20"/>
      <w:szCs w:val="20"/>
    </w:rPr>
  </w:style>
  <w:style w:type="paragraph" w:styleId="Regtext" w:customStyle="1">
    <w:name w:val="Reg text"/>
    <w:basedOn w:val="Normal"/>
    <w:qFormat/>
    <w:pPr>
      <w:spacing w:before="240" w:after="240"/>
      <w:jc w:val="both"/>
    </w:pPr>
    <w:rPr>
      <w:rFonts w:ascii="Arial" w:hAnsi="Arial" w:cs="Arial"/>
      <w:sz w:val="22"/>
      <w:lang w:val="x-none"/>
    </w:rPr>
  </w:style>
  <w:style w:type="paragraph" w:styleId="FONormal" w:customStyle="1">
    <w:name w:val="FO Normal"/>
    <w:basedOn w:val="Normal"/>
    <w:qFormat/>
    <w:pPr>
      <w:spacing w:before="120" w:after="0"/>
    </w:pPr>
    <w:rPr>
      <w:rFonts w:ascii="Calibri" w:hAnsi="Calibri" w:cs="Calibri"/>
      <w:sz w:val="22"/>
      <w:szCs w:val="22"/>
    </w:rPr>
  </w:style>
  <w:style w:type="paragraph" w:styleId="PlainText">
    <w:name w:val="Plain Text"/>
    <w:basedOn w:val="Normal"/>
    <w:qFormat/>
    <w:pPr/>
    <w:rPr>
      <w:rFonts w:ascii="Calibri" w:hAnsi="Calibri" w:eastAsia="Calibri" w:cs="Calibri"/>
      <w:sz w:val="22"/>
      <w:szCs w:val="21"/>
      <w:lang w:val="en-US"/>
    </w:rPr>
  </w:style>
  <w:style w:type="paragraph" w:styleId="BODY1" w:customStyle="1">
    <w:name w:val="BODY 1"/>
    <w:basedOn w:val="Normal"/>
    <w:qFormat/>
    <w:rsid w:val="00a8603e"/>
    <w:pPr>
      <w:suppressAutoHyphens w:val="false"/>
      <w:jc w:val="both"/>
    </w:pPr>
    <w:rPr>
      <w:rFonts w:ascii="Arial" w:hAnsi="Arial"/>
      <w:sz w:val="22"/>
      <w:szCs w:val="20"/>
      <w:lang w:eastAsia="en-US"/>
    </w:rPr>
  </w:style>
  <w:style w:type="paragraph" w:styleId="Default" w:customStyle="1">
    <w:name w:val="Default"/>
    <w:qFormat/>
    <w:rsid w:val="00da1004"/>
    <w:pPr>
      <w:widowControl/>
      <w:bidi w:val="0"/>
      <w:spacing w:before="0" w:after="0"/>
      <w:jc w:val="start"/>
    </w:pPr>
    <w:rPr>
      <w:rFonts w:ascii="Arial" w:hAnsi="Arial" w:cs="Arial" w:eastAsia="Times New Roman"/>
      <w:color w:val="000000"/>
      <w:kern w:val="0"/>
      <w:sz w:val="24"/>
      <w:szCs w:val="24"/>
      <w:lang w:val="bs-BA" w:eastAsia="bs-BA" w:bidi="ar-SA"/>
    </w:rPr>
  </w:style>
  <w:style w:type="paragraph" w:styleId="TableParagraph" w:customStyle="1">
    <w:name w:val="Table Paragraph"/>
    <w:basedOn w:val="Normal"/>
    <w:uiPriority w:val="1"/>
    <w:qFormat/>
    <w:rsid w:val="00630402"/>
    <w:pPr>
      <w:widowControl w:val="false"/>
      <w:suppressAutoHyphens w:val="false"/>
      <w:spacing w:lineRule="exact" w:line="218"/>
      <w:ind w:start="-4"/>
    </w:pPr>
    <w:rPr>
      <w:rFonts w:ascii="Arial MT" w:hAnsi="Arial MT" w:eastAsia="Arial MT" w:cs="Arial MT"/>
      <w:sz w:val="22"/>
      <w:szCs w:val="22"/>
      <w:lang w:val="bs-BA" w:eastAsia="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271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wmf"/><Relationship Id="rId6" Type="http://schemas.openxmlformats.org/officeDocument/2006/relationships/image" Target="media/image5.wmf"/><Relationship Id="rId7" Type="http://schemas.openxmlformats.org/officeDocument/2006/relationships/image" Target="media/image6.wmf"/><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9.wmf"/><Relationship Id="rId11" Type="http://schemas.openxmlformats.org/officeDocument/2006/relationships/image" Target="media/image10.wmf"/><Relationship Id="rId12" Type="http://schemas.openxmlformats.org/officeDocument/2006/relationships/image" Target="media/image11.wmf"/><Relationship Id="rId13" Type="http://schemas.openxmlformats.org/officeDocument/2006/relationships/image" Target="media/image12.wmf"/><Relationship Id="rId14" Type="http://schemas.openxmlformats.org/officeDocument/2006/relationships/image" Target="media/image13.wmf"/><Relationship Id="rId15" Type="http://schemas.openxmlformats.org/officeDocument/2006/relationships/image" Target="media/image14.wmf"/><Relationship Id="rId16" Type="http://schemas.openxmlformats.org/officeDocument/2006/relationships/image" Target="media/image15.wmf"/><Relationship Id="rId17" Type="http://schemas.openxmlformats.org/officeDocument/2006/relationships/image" Target="media/image16.wmf"/><Relationship Id="rId18" Type="http://schemas.openxmlformats.org/officeDocument/2006/relationships/image" Target="media/image17.wmf"/><Relationship Id="rId19" Type="http://schemas.openxmlformats.org/officeDocument/2006/relationships/image" Target="media/image18.wmf"/><Relationship Id="rId20" Type="http://schemas.openxmlformats.org/officeDocument/2006/relationships/image" Target="media/image19.wmf"/><Relationship Id="rId21" Type="http://schemas.openxmlformats.org/officeDocument/2006/relationships/image" Target="media/image20.wmf"/><Relationship Id="rId22" Type="http://schemas.openxmlformats.org/officeDocument/2006/relationships/image" Target="media/image21.wmf"/><Relationship Id="rId23" Type="http://schemas.openxmlformats.org/officeDocument/2006/relationships/image" Target="media/image22.wmf"/><Relationship Id="rId24" Type="http://schemas.openxmlformats.org/officeDocument/2006/relationships/image" Target="media/image23.wmf"/><Relationship Id="rId25" Type="http://schemas.openxmlformats.org/officeDocument/2006/relationships/image" Target="media/image24.wmf"/><Relationship Id="rId26" Type="http://schemas.openxmlformats.org/officeDocument/2006/relationships/image" Target="media/image25.wmf"/><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Relationship Id="rId38" Type="http://schemas.openxmlformats.org/officeDocument/2006/relationships/customXml" Target="../customXml/item2.xml"/><Relationship Id="rId39"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9.png"/>
</Relationships>
</file>

<file path=word/_rels/header2.xml.rels><?xml version="1.0" encoding="UTF-8"?>
<Relationships xmlns="http://schemas.openxmlformats.org/package/2006/relationships"><Relationship Id="rId1" Type="http://schemas.openxmlformats.org/officeDocument/2006/relationships/image" Target="media/image29.png"/>
</Relationships>
</file>

<file path=word/_rels/header3.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i="http://www.w3.org/2001/XMLSchema-instance" xmlns:xsd="http://www.w3.org/2001/XMLSchema" xmlns="http://www.boldonjames.com/2008/01/sie/internal/label" sislVersion="0" policy="5f91bfb2-a9c1-45d0-8517-08b1f316eb15" origin="userSelected">
  <element uid="id_classification_confidential" value=""/>
</sisl>
</file>

<file path=customXml/item3.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VEVMRUNPTVxoYXNuaWphYjwvVXNlck5hbWU+PERhdGVUaW1lPjE3LjcuMjAyMyA2OjEzOjM4PC9EYXRlVGltZT48TGFiZWxTdHJpbmc+UG92amVybGppdm88L0xhYmVsU3RyaW5nPjwvaXRlbT48L2xhYmVsSGlzdG9yeT4=</Value>
</WrappedLabelHistory>
</file>

<file path=customXml/itemProps1.xml><?xml version="1.0" encoding="utf-8"?>
<ds:datastoreItem xmlns:ds="http://schemas.openxmlformats.org/officeDocument/2006/customXml" ds:itemID="{EF102EBD-CB49-4909-86C0-C54B17F91905}">
  <ds:schemaRefs>
    <ds:schemaRef ds:uri="http://schemas.openxmlformats.org/officeDocument/2006/bibliography"/>
  </ds:schemaRefs>
</ds:datastoreItem>
</file>

<file path=customXml/itemProps2.xml><?xml version="1.0" encoding="utf-8"?>
<ds:datastoreItem xmlns:ds="http://schemas.openxmlformats.org/officeDocument/2006/customXml" ds:itemID="{B7B38680-433B-4D4F-B405-48A434C3CBB2}">
  <ds:schemaRefs>
    <ds:schemaRef ds:uri="http://www.w3.org/2001/XMLSchema"/>
    <ds:schemaRef ds:uri="http://www.boldonjames.com/2008/01/sie/internal/label"/>
  </ds:schemaRefs>
</ds:datastoreItem>
</file>

<file path=customXml/itemProps3.xml><?xml version="1.0" encoding="utf-8"?>
<ds:datastoreItem xmlns:ds="http://schemas.openxmlformats.org/officeDocument/2006/customXml" ds:itemID="{9E77B611-9807-45A5-91D5-7DA1B15614F8}">
  <ds:schemaRefs>
    <ds:schemaRef ds:uri="http://www.w3.org/2001/XMLSchema"/>
    <ds:schemaRef ds:uri="http://www.boldonjames.com/2016/02/Classifier/internal/wrappedLabelHistor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Application>LibreOffice/26.2.5.2$Windows_X86_64 LibreOffice_project/cd7284b4cbbfeb507e630c1aac019f4157393acb</Application>
  <AppVersion>15.0000</AppVersion>
  <Pages>6</Pages>
  <Words>2170</Words>
  <Characters>13317</Characters>
  <CharactersWithSpaces>15835</CharactersWithSpaces>
  <Paragraphs>170</Paragraphs>
  <Company>BH Telecom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2026-07-06T08:14:00Z</dcterms:created>
  <dc:creator>bh telecom</dc:creator>
  <dc:description/>
  <cp:keywords> [BH Telecom | Povjerljivo]</cp:keywords>
  <dc:language>en-GB</dc:language>
  <cp:lastModifiedBy/>
  <cp:lastPrinted>2022-06-17T07:37:00Z</cp:lastPrinted>
  <dcterms:modified xsi:type="dcterms:W3CDTF">2026-08-12T12:25:17Z</dcterms:modified>
  <cp:revision>13</cp:revision>
  <dc:subject/>
  <dc:title>UPRAVA DRUŠTVA/SJEDNICA 9 (TAČKA 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jClsUserRVM">
    <vt:lpwstr>[]</vt:lpwstr>
  </property>
  <property fmtid="{D5CDD505-2E9C-101B-9397-08002B2CF9AE}" pid="3"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4" name="bjDocumentLabelXML-0">
    <vt:lpwstr>ames.com/2008/01/sie/internal/label"&gt;&lt;element uid="id_classification_confidential" value="" /&gt;&lt;/sisl&gt;</vt:lpwstr>
  </property>
  <property fmtid="{D5CDD505-2E9C-101B-9397-08002B2CF9AE}" pid="5" name="bjDocumentSecurityLabel">
    <vt:lpwstr>Povjerljivo</vt:lpwstr>
  </property>
  <property fmtid="{D5CDD505-2E9C-101B-9397-08002B2CF9AE}" pid="6" name="bjLabelHistoryID">
    <vt:lpwstr>{9E77B611-9807-45A5-91D5-7DA1B15614F8}</vt:lpwstr>
  </property>
  <property fmtid="{D5CDD505-2E9C-101B-9397-08002B2CF9AE}" pid="7" name="bjSaver">
    <vt:lpwstr>UNCwq1Wg8E+4VIu2yOL7a17Ix0BTSZtQ</vt:lpwstr>
  </property>
  <property fmtid="{D5CDD505-2E9C-101B-9397-08002B2CF9AE}" pid="8" name="docIndexRef">
    <vt:lpwstr>5734499a-1fe4-48ae-9cd0-2e168a92dc25</vt:lpwstr>
  </property>
</Properties>
</file>