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</w:t>
      </w:r>
      <w:r>
        <w:t xml:space="preserve"> </w:t>
      </w:r>
      <w:r>
        <w:t xml:space="preserve">LOT 1: nosači fotonaponskih panela · LOT 2: dizel električni agregat u kontejneru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9, 11.09.2026.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ranije dokumentacije,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Vrijednost/Opis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ISTOČNOM zidu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SJEVERNI zid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Projektna vrijednost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t xml:space="preserve">ovjereni projekat lokacije i BAS EN 1991-1-4 + BiH NA, sa orografijom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pri nagibu 45° μ₁ = 0,4; uz opaženih ≈0,5 m visine snijega to je ≈0,6 kN/m², upola manje od vjetra. Provjera je obavezna, ali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izložen planinski vrh; 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 na 1076 m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RS/BiH; elaborat zaštite od požara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8" w:name="X060e908177c6b3f0529920e76e7367835a3b0e4"/>
    <w:p>
      <w:pPr>
        <w:pStyle w:val="Heading2"/>
      </w:pPr>
      <w:r>
        <w:t xml:space="preserve">3. LOT 1 — Infrastruktura fotonaponskih panela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3 kom × 4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— po jedan string na svaku od dvije rute PVDB ormara; string se prostire preko dva nosača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kWp; 4 modula po nosaču, 2 reda × 2 stupca, portret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180° (JUG)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2305 mm (poprečna greda 2918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4576 mm (2 × 2278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3236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+3,74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1,64 m iznad kote ograde h = 2,10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</w:t>
      </w:r>
      <w:r>
        <w:t xml:space="preserve"> </w:t>
      </w:r>
      <w:r>
        <w:t xml:space="preserve">Huawei nosača tipa A nije usklađen sa qp lokacije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(udar 3 s ≈ 45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≥18,1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≥13,4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≥42,6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≥26,6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≥18,1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≥26,6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livena U-sidra M16/320 dozvoljena SAMO uz gravitacioni temelj ≥0,75 m³ po nosaču — moment prevrtanja i dalje zahtijeva provjeru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(×3 nosača =</w:t>
            </w:r>
            <w:r>
              <w:t xml:space="preserve"> </w:t>
            </w:r>
            <w:r>
              <w:rPr>
                <w:b/>
                <w:bCs/>
              </w:rPr>
              <w:t xml:space="preserve">6 traka ukupno</w:t>
            </w:r>
            <w:r>
              <w:t xml:space="preserve">), 450 mm (gore) / 550 mm (dolje) × 3300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pravac SJEVER–JUG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1,485 m³ po traci → 8,91 m³ ukupno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južno od ograde. Odmak od ograde Ponuđač utvrđuje pri poziciranju nosača tako da ravan panela nigdje ne dodiruje ogradu, a konstrukcija u cijelosti ostane unutar zakupljene parcele 16,00 × 9,40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1,485 m³ × 24 kN/m³ × 0,9 = 32,1 kN</w:t>
      </w:r>
      <w:r>
        <w:t xml:space="preserve"> </w:t>
      </w:r>
      <w:r>
        <w:t xml:space="preserve">prema traženih 29,6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tri nosača</w:t>
      </w:r>
      <w:r>
        <w:t xml:space="preserve"> </w:t>
      </w:r>
      <w:r>
        <w:t xml:space="preserve">na postojeći prstenasti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1" w:name="X239bcf8ffa5a46b3b2640c5c1f1f63bbc63e3a7"/>
    <w:p>
      <w:pPr>
        <w:pStyle w:val="Heading2"/>
      </w:pPr>
      <w:r>
        <w:t xml:space="preserve">4. LOT 2 — Dizel električni agregat i instalacije</w:t>
      </w:r>
    </w:p>
    <w:bookmarkStart w:id="25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na 1076 m n.v. i temperaturu okoline do +40 °C (ISO 3046-1); Ponuđač dostavlja derating proizvođača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0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3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5"/>
    <w:bookmarkStart w:id="32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7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0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2"/>
    <w:bookmarkStart w:id="36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 2151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3,56 m/s, Δp ≈ 17 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Kanal hladnjaka</w:t>
            </w:r>
          </w:p>
        </w:tc>
        <w:tc>
          <w:tcPr/>
          <w:p>
            <w:pPr>
              <w:pStyle w:val="Compact"/>
            </w:pPr>
            <w:r>
              <w:t xml:space="preserve">prelazni komad od prirubnice hladnjaka do izlazne žaluzine,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  <w:r>
              <w:t xml:space="preserve">, od pocinčanog lima d = 1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Izlazna žaluzina</w:t>
            </w:r>
          </w:p>
        </w:tc>
        <w:tc>
          <w:tcPr/>
          <w:p>
            <w:pPr>
              <w:pStyle w:val="Compact"/>
            </w:pPr>
            <w:r>
              <w:t xml:space="preserve">600 × 600 mm (v ≈ 3,46 m/s, Δp ≈ 16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 vođen termostatom i kontrolerom DEA,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Raspored otvora</w:t>
      </w:r>
      <w:r>
        <w:t xml:space="preserve"> </w:t>
      </w:r>
      <w:r>
        <w:t xml:space="preserve">(prema crtežu M-01, Prilog III):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SJEVERNI zid, istočni kraj</w:t>
            </w:r>
            <w:r>
              <w:t xml:space="preserve">; donja ivica +0,30 m od poda. Sjeverna strana je zasjenjena i daje najhladniji usisni zrak; žaluzina se postavlja 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ZAPADNI zid</w:t>
            </w:r>
            <w:r>
              <w:t xml:space="preserve">, na osi hladnjaka agregata; kanal najkraćim putem od hladnjaka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JUŽNI zid</w:t>
            </w:r>
            <w:r>
              <w:t xml:space="preserve">, 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ISTOČNI zid</w:t>
            </w:r>
            <w:r>
              <w:t xml:space="preserve">, gore (donja ivica ≈+1,75 m), sjeverno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Raspored opreme i otvora u kontejneru, crtež M-01 (Prilog III)" title="" id="34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Raspored opreme i otvora u kontejneru, crtež M-01 (Prilog III)</w:t>
      </w:r>
    </w:p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</w:t>
      </w:r>
      <w:r>
        <w:t xml:space="preserve"> </w:t>
      </w:r>
      <w:r>
        <w:t xml:space="preserve">(</w:t>
      </w:r>
      <w:r>
        <w:rPr>
          <w:b/>
          <w:bCs/>
        </w:rPr>
        <w:t xml:space="preserve">usis SJEVER → agregat → izlaz ZAPAD</w:t>
      </w:r>
      <w:r>
        <w:t xml:space="preserve">). Nije dozvoljeno izvesti usis, izlaz i</w:t>
      </w:r>
      <w:r>
        <w:t xml:space="preserve"> </w:t>
      </w:r>
      <w:r>
        <w:t xml:space="preserve">izduv na istom zidu, niti usmjeriti topli zrak ili izduv prema SJEVERNOJ strani, gdje</w:t>
      </w:r>
      <w:r>
        <w:t xml:space="preserve"> </w:t>
      </w:r>
      <w:r>
        <w:t xml:space="preserve">su vanjski ormari i usis svježeg zraka. Nije dozvoljeno izvesti dovod zraka kroz</w:t>
      </w:r>
      <w:r>
        <w:t xml:space="preserve"> </w:t>
      </w:r>
      <w:r>
        <w:t xml:space="preserve">ulazna vrata.</w:t>
      </w:r>
    </w:p>
    <w:bookmarkEnd w:id="36"/>
    <w:bookmarkStart w:id="37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 i dužine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 </w:t>
            </w:r>
            <w:r>
              <w:t xml:space="preserve">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mm, razvijena površina</w:t>
            </w:r>
            <w:r>
              <w:t xml:space="preserve"> </w:t>
            </w:r>
            <w:r>
              <w:rPr>
                <w:b/>
                <w:bCs/>
              </w:rPr>
              <w:t xml:space="preserve">≈3,0 m²</w:t>
            </w:r>
            <w:r>
              <w:t xml:space="preserve">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</w:t>
            </w:r>
          </w:p>
        </w:tc>
      </w:tr>
    </w:tbl>
    <w:bookmarkEnd w:id="37"/>
    <w:bookmarkStart w:id="38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2 × 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objekat ima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 h = 38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svih 7 postojećih krugova u novi GRO; signalna rasvjeta antenskog stuba (K7) na zasebnom nadziranom krugu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bookmarkEnd w:id="38"/>
    <w:bookmarkStart w:id="39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lokacija nema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na lokaciji je 11,6 kW, a neograničen ispravljački</w:t>
      </w:r>
      <w:r>
        <w:t xml:space="preserve"> </w:t>
      </w:r>
      <w:r>
        <w:t xml:space="preserve">sistem vuče ≈12,5 kW. Granica ujedno drži agregat iznad 30 % opterećenja i</w:t>
      </w:r>
      <w:r>
        <w:t xml:space="preserve"> </w:t>
      </w:r>
      <w:r>
        <w:t xml:space="preserve">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12–17 %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39"/>
    <w:bookmarkStart w:id="40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 — 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</w:tbl>
    <w:bookmarkEnd w:id="42"/>
    <w:bookmarkStart w:id="43" w:name="ispitivanja-i-puštanje-u-rad"/>
    <w:p>
      <w:pPr>
        <w:pStyle w:val="Heading2"/>
      </w:pPr>
      <w:r>
        <w:t xml:space="preserve">6. Ispitivanja i puštanje u rad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43"/>
    <w:bookmarkStart w:id="44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6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6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6"/>
        </w:numPr>
      </w:pPr>
      <w:r>
        <w:t xml:space="preserve">spisak preporučenih rezervnih dijelova za 500 h rada agregata</w:t>
      </w:r>
    </w:p>
    <w:p>
      <w:pPr>
        <w:pStyle w:val="Compact"/>
        <w:numPr>
          <w:ilvl w:val="0"/>
          <w:numId w:val="1006"/>
        </w:numPr>
      </w:pPr>
      <w:r>
        <w:t xml:space="preserve">dokumentacija izvedenog stanja i uputstva za pogon i održavanje</w:t>
      </w:r>
    </w:p>
    <w:p>
      <w:r>
        <w:pict>
          <v:rect style="width:0;height:1.5pt" o:hralign="center" o:hrstd="t" o:hr="t"/>
        </w:pict>
      </w:r>
    </w:p>
    <w:bookmarkEnd w:id="44"/>
    <w:bookmarkStart w:id="5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(2005–2023):</w:t>
      </w:r>
      <w:r>
        <w:t xml:space="preserve"> </w:t>
      </w:r>
      <w:r>
        <w:t xml:space="preserve">ozračenje lokacije iz PVGIS-SARAH3, FN lanac sa gubicima po komponentama (uključujući</w:t>
      </w:r>
      <w:r>
        <w:t xml:space="preserve"> </w:t>
      </w:r>
      <w:r>
        <w:t xml:space="preserve">krivulju efikasnosti iSSU S4875G2), baterije 48,6 kWh (6 × 150 Ah) i agregat preko ispravljača</w:t>
      </w:r>
      <w:r>
        <w:t xml:space="preserve"> </w:t>
      </w:r>
      <w:r>
        <w:t xml:space="preserve">ograničenih na 9,5 kW, uz parametriranje SMU iz Tačke 4.6. Metoda, provjera prema</w:t>
      </w:r>
      <w:r>
        <w:t xml:space="preserve"> </w:t>
      </w:r>
      <w:r>
        <w:t xml:space="preserve">PVGIS-u, gubici i osjetljivost na postavke su u Proračunima, dio A.6.</w:t>
      </w:r>
      <w:r>
        <w:t xml:space="preserve"> </w:t>
      </w:r>
      <w:r>
        <w:rPr>
          <w:b/>
          <w:bCs/>
        </w:rPr>
        <w:t xml:space="preserve">Vrijednosti su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informativne i ne mijenjaju zahtjeve Tačaka 3 i 4.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≈10 140 kWh/god (1 444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≈10 570 kWh/god (1180 W TK + hlađenje ormara i pomoćna potrošnja)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</w:t>
            </w:r>
          </w:p>
        </w:tc>
        <w:tc>
          <w:tcPr/>
          <w:p>
            <w:pPr>
              <w:pStyle w:val="Compact"/>
            </w:pPr>
            <w:r>
              <w:t xml:space="preserve">FN ≈560 kWh prema potrošnji ≈890 kWh — razliku pokriva agregat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79,8 %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≈230 h/god</w:t>
            </w:r>
            <w:r>
              <w:t xml:space="preserve"> </w:t>
            </w:r>
            <w:r>
              <w:t xml:space="preserve">u prosjeku; u 9 od 10 godina do ≈290 h; najviše ≈310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≈80 godišnje, najviše ≈110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≈770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≈260 h i trošio ≈870 l goriva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6 — Mjesečni energetski bilans: FN proizvodnja, agregat i potrošnja (prosjek i raspon 2005–2023)" title="" id="46" name="Picture"/>
            <a:graphic>
              <a:graphicData uri="http://schemas.openxmlformats.org/drawingml/2006/picture">
                <pic:pic>
                  <pic:nvPicPr>
                    <pic:cNvPr descr="../TD-OUTPUT/grafika/prilog1/energetski-bila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Mjesečni energetski bilans: FN proizvodnja, agregat i potrošnja (prosjek i raspon 2005–2023)</w:t>
      </w:r>
    </w:p>
    <w:p>
      <w:pPr>
        <w:pStyle w:val="CaptionedFigure"/>
      </w:pPr>
      <w:r>
        <w:drawing>
          <wp:inline>
            <wp:extent cx="5382016" cy="2676394"/>
            <wp:effectExtent b="0" l="0" r="0" t="0"/>
            <wp:docPr descr="Slika 7 — Horizont lokacije i putanje Sunca (PVGIS DEM)" title="" id="49" name="Picture"/>
            <a:graphic>
              <a:graphicData uri="http://schemas.openxmlformats.org/drawingml/2006/picture">
                <pic:pic>
                  <pic:nvPicPr>
                    <pic:cNvPr descr="../TD-OUTPUT/grafika/prilog1/horizo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76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Horizont lokacije i putanje Sunca (PVGIS DEM)</w:t>
      </w:r>
    </w:p>
    <w:bookmarkEnd w:id="51"/>
    <w:bookmarkEnd w:id="5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2026-09-11T13:45:42Z</dcterms:created>
  <dcterms:modified xsi:type="dcterms:W3CDTF">2026-09-11T13:45:42Z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