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45.png" ContentType="image/png"/>
  <Override PartName="/word/media/rId48.png" ContentType="image/png"/>
  <Override PartName="/word/media/rId3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</w:t>
      </w:r>
      <w:r>
        <w:t xml:space="preserve"> </w:t>
      </w:r>
      <w:r>
        <w:t xml:space="preserve">LOT 1: nosači fotonaponskih panela · LOT 2: dizel električni agregat u kontejneru</w:t>
      </w:r>
    </w:p>
    <w:p>
      <w:pPr>
        <w:pStyle w:val="BodyText"/>
      </w:pPr>
      <w:r>
        <w:rPr>
          <w:b/>
          <w:bCs/>
        </w:rPr>
        <w:t xml:space="preserve">Verzija:</w:t>
      </w:r>
      <w:r>
        <w:t xml:space="preserve"> </w:t>
      </w:r>
      <w:r>
        <w:t xml:space="preserve">Rev 9, 11.09.2026.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(Predmjer), (4) Prilog III (grafički</w:t>
      </w:r>
      <w:r>
        <w:t xml:space="preserve"> </w:t>
      </w:r>
      <w:r>
        <w:t xml:space="preserve">prilozi).</w:t>
      </w:r>
    </w:p>
    <w:p>
      <w:pPr>
        <w:pStyle w:val="BodyText"/>
      </w:pPr>
      <w:r>
        <w:t xml:space="preserve">Prilog III sadrži i preuzete stranice ranije dokumentacije,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/>
          <w:bCs/>
        </w:rPr>
        <w:t xml:space="preserve">mjerodavan raspored opreme i otvora u kontejneru je onaj sa crteža M-01.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Vrijednost/Opis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 bez opreme; ulazna vrata 900 × 2000 mm na ISTOČNOM zidu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SJEVERNI zid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Projektna vrijednost</w:t>
            </w:r>
          </w:p>
        </w:tc>
        <w:tc>
          <w:tcPr/>
          <w:p>
            <w:pPr>
              <w:pStyle w:val="Compac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Vjetar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</w:pPr>
            <w:r>
              <w:t xml:space="preserve">ovjereni projekat lokacije i BAS EN 1991-1-4 + BiH NA, sa orografijom —</w:t>
            </w:r>
            <w:r>
              <w:t xml:space="preserve"> </w:t>
            </w:r>
            <w:r>
              <w:rPr>
                <w:b/>
                <w:bCs/>
              </w:rPr>
              <w:t xml:space="preserve">mjerodavno dejstvo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pri nagibu 45° μ₁ = 0,4; uz opaženih ≈0,5 m visine snijega to je ≈0,6 kN/m², upola manje od vjetra. Provjera je obavezna, ali nije mjerodavna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</w:pPr>
            <w:r>
              <w:t xml:space="preserve">izložen planinski vrh; mjerodavan kao akrecija na profile i spojeve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 na 1076 m</w:t>
            </w:r>
          </w:p>
        </w:tc>
        <w:tc>
          <w:tcPr/>
          <w:p>
            <w:pPr>
              <w:pStyle w:val="Compac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</w:pPr>
            <w:r>
              <w:t xml:space="preserve">Ponuđač navodi usvojenu dubinu u dnevniku/knjizi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RS/BiH; elaborat zaštite od požara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8" w:name="X060e908177c6b3f0529920e76e7367835a3b0e4"/>
    <w:p>
      <w:pPr>
        <w:pStyle w:val="Heading2"/>
      </w:pPr>
      <w:r>
        <w:t xml:space="preserve">3. LOT 1 — Infrastruktura fotonaponskih panela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3 kom × 4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— po jedan string na svaku od dvije rute PVDB ormara; string se prostire preko dva nosača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kWp; 4 modula po nosaču, 2 reda × 2 stupca, portret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180° (JUG)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2305 mm (poprečna greda 2918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4576 mm (2 × 2278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3236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+3,74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1,64 m iznad kote ograde h = 2,10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</w:tbl>
    <w:bookmarkEnd w:id="12"/>
    <w:bookmarkStart w:id="13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/>
          <w:bCs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/>
          <w:bCs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</w:t>
      </w:r>
      <w:r>
        <w:t xml:space="preserve"> </w:t>
      </w:r>
      <w:r>
        <w:t xml:space="preserve">Huawei nosača tipa A nije usklađen sa qp lokacije (deklarisano 0,52–0,87 kN/m² prema</w:t>
      </w:r>
      <w:r>
        <w:t xml:space="preserve"> </w:t>
      </w:r>
      <w:r>
        <w:t xml:space="preserve">zahtijevanih 1,20 kN/m²).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</w:pPr>
            <w:r>
              <w:t xml:space="preserve">qp ≥ 1,20 kN/m² (udar 3 s ≈ 45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</w:pPr>
            <w:r>
              <w:t xml:space="preserve">cf ≥ 1,5 pri 45° prema EN 1991-1-4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</w:pPr>
            <w:r>
              <w:t xml:space="preserve">≥18,1 kN (GSN, γQ = 1,5 / γG,fav = 0,9)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</w:pPr>
            <w:r>
              <w:t xml:space="preserve">≥13,4 kN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Moment prevrtanja po nosaču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≥42,6 kNm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Spreg po temeljnoj traci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≥26,6 kN</w:t>
            </w:r>
            <w:r>
              <w:t xml:space="preserve"> </w:t>
            </w:r>
            <w:r>
              <w:t xml:space="preserve">pri razmaku traka 1600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Mjerodavno</w:t>
            </w:r>
          </w:p>
        </w:tc>
        <w:tc>
          <w:tcPr/>
          <w:p>
            <w:pPr>
              <w:pStyle w:val="Compact"/>
            </w:pPr>
            <w:r>
              <w:t xml:space="preserve">podizanje (uplift) i prevrtanje, a NE nosivost tla</w:t>
            </w:r>
          </w:p>
        </w:tc>
      </w:tr>
    </w:tbl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</w:t>
            </w:r>
          </w:p>
        </w:tc>
        <w:tc>
          <w:tcPr/>
          <w:p>
            <w:pPr>
              <w:pStyle w:val="Compact"/>
            </w:pPr>
            <w:r>
              <w:t xml:space="preserve">karakteristična sila čupanja ≥30 kN po ankeru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Projektna sila</w:t>
            </w:r>
          </w:p>
        </w:tc>
        <w:tc>
          <w:tcPr/>
          <w:p>
            <w:pPr>
              <w:pStyle w:val="Compact"/>
            </w:pPr>
            <w:r>
              <w:t xml:space="preserve">ukupno podizanje po nosaču ≥18,1 kN;</w:t>
            </w:r>
            <w:r>
              <w:t xml:space="preserve"> </w:t>
            </w:r>
            <w:r>
              <w:rPr>
                <w:b/>
                <w:bCs/>
              </w:rPr>
              <w:t xml:space="preserve">sila po traci od momenta prevrtanja ≥26,6 kN</w:t>
            </w:r>
            <w:r>
              <w:t xml:space="preserve"> </w:t>
            </w:r>
            <w:r>
              <w:t xml:space="preserve">pri razmaku traka 1600 mm — ovo je mjerodavno opterećenje sidrenja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livena U-sidra M16/320 dozvoljena SAMO uz gravitacioni temelj ≥0,75 m³ po nosaču — moment prevrtanja i dalje zahtijeva provjeru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(×3 nosača =</w:t>
            </w:r>
            <w:r>
              <w:t xml:space="preserve"> </w:t>
            </w:r>
            <w:r>
              <w:rPr>
                <w:b/>
                <w:bCs/>
              </w:rPr>
              <w:t xml:space="preserve">6 traka ukupno</w:t>
            </w:r>
            <w:r>
              <w:t xml:space="preserve">), 450 mm (gore) / 550 mm (dolje) × 3300 mm,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pravac SJEVER–JUG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1,485 m³ po traci → 8,91 m³ ukupno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južno od ograde. Odmak od ograde Ponuđač utvrđuje pri poziciranju nosača tako da ravan panela nigdje ne dodiruje ogradu, a konstrukcija u cijelosti ostane unutar zakupljene parcele 16,00 × 9,40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rova.</w:t>
      </w:r>
      <w:r>
        <w:t xml:space="preserve"> </w:t>
      </w:r>
      <w:r>
        <w:t xml:space="preserve">Vlastita težina trake je dio dokaza</w:t>
      </w:r>
      <w:r>
        <w:t xml:space="preserve"> </w:t>
      </w:r>
      <w:r>
        <w:t xml:space="preserve">sigurnosti na podizanje:</w:t>
      </w:r>
      <w:r>
        <w:t xml:space="preserve"> </w:t>
      </w:r>
      <w:r>
        <w:rPr>
          <w:rStyle w:val="VerbatimChar"/>
        </w:rPr>
        <w:t xml:space="preserve">1,485 m³ × 24 kN/m³ × 0,9 = 32,1 kN</w:t>
      </w:r>
      <w:r>
        <w:t xml:space="preserve"> </w:t>
      </w:r>
      <w:r>
        <w:t xml:space="preserve">prema traženih 29,6 kN</w:t>
      </w:r>
      <w:r>
        <w:t xml:space="preserve"> </w:t>
      </w:r>
      <w:r>
        <w:t xml:space="preserve">po traci. Traka manje zapremine tu provjeru ne zatvara vlastitom težinom.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1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tri nosača</w:t>
      </w:r>
      <w:r>
        <w:t xml:space="preserve"> </w:t>
      </w:r>
      <w:r>
        <w:t xml:space="preserve">na postojeći prstenasti uzemljivač Fe/Zn 25 × 4 mm</w:t>
      </w:r>
    </w:p>
    <w:p>
      <w:pPr>
        <w:pStyle w:val="Compact"/>
        <w:numPr>
          <w:ilvl w:val="0"/>
          <w:numId w:val="1001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1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1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1"/>
        </w:numPr>
      </w:pPr>
      <w:r>
        <w:t xml:space="preserve">DC kablovi na razmaku ≥0,5 m od odvoda gromobranske instalacije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1" w:name="X239bcf8ffa5a46b3b2640c5c1f1f63bbc63e3a7"/>
    <w:p>
      <w:pPr>
        <w:pStyle w:val="Heading2"/>
      </w:pPr>
      <w:r>
        <w:t xml:space="preserve">4. LOT 2 — Dizel električni agregat i instalacije</w:t>
      </w:r>
    </w:p>
    <w:bookmarkStart w:id="25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na 1076 m n.v. i temperaturu okoline do +40 °C (ISO 3046-1); Ponuđač dostavlja derating proizvođača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Uzbuda (OBAVEZNO)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/>
                <w:bCs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4.5); uključuje ga kontroler agregata samo za kratko predgrijavanje prije starta pri niskoj temperaturi; uz to pomoćna sredstva za hladni start prema proizvođaču i zimsko dizel gorivo prema EN 590. Grijač prostora se ne predviđa — agregat je jedini izvor izmjeničnog napona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0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3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5"/>
    <w:bookmarkStart w:id="32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2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2"/>
        </w:numPr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/>
          <w:bCs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/>
          <w:bCs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pStyle w:val="Compact"/>
        <w:numPr>
          <w:ilvl w:val="0"/>
          <w:numId w:val="1002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2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2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2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2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7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0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2"/>
    <w:bookmarkStart w:id="36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 2151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3,56 m/s, Δp ≈ 17 Pa)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Kanal hladnjaka</w:t>
            </w:r>
          </w:p>
        </w:tc>
        <w:tc>
          <w:tcPr/>
          <w:p>
            <w:pPr>
              <w:pStyle w:val="Compact"/>
            </w:pPr>
            <w:r>
              <w:t xml:space="preserve">prelazni komad od prirubnice hladnjaka do izlazne žaluzine,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  <w:r>
              <w:t xml:space="preserve">, od pocinčanog lima d = 1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Izlazna žaluzina</w:t>
            </w:r>
          </w:p>
        </w:tc>
        <w:tc>
          <w:tcPr/>
          <w:p>
            <w:pPr>
              <w:pStyle w:val="Compact"/>
            </w:pPr>
            <w:r>
              <w:t xml:space="preserve">600 × 600 mm (v ≈ 3,46 m/s, Δp ≈ 16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Raspored otvora</w:t>
      </w:r>
      <w:r>
        <w:t xml:space="preserve"> </w:t>
      </w:r>
      <w:r>
        <w:t xml:space="preserve">(prema crtežu M-01, Prilog III):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SJEVERNI zid, istočni kraj</w:t>
            </w:r>
            <w:r>
              <w:t xml:space="preserve">; donja ivica +0,30 m od poda. Sjeverna strana je zasjenjena i daje najhladniji usisni zrak; žaluzina se postavlja 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ZAPADNI zid</w:t>
            </w:r>
            <w:r>
              <w:t xml:space="preserve">, na osi hladnjaka agregata; kanal najkraćim putem od hladnjaka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JUŽNI zid</w:t>
            </w:r>
            <w:r>
              <w:t xml:space="preserve">, 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ISTOČNI zid</w:t>
            </w:r>
            <w:r>
              <w:t xml:space="preserve">, gore (donja ivica ≈+1,75 m), sjeverno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Raspored opreme i otvora u kontejneru, crtež M-01 (Prilog III)" title="" id="34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Raspored opreme i otvora u kontejneru, crtež M-01 (Prilog III)</w:t>
      </w:r>
    </w:p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</w:t>
      </w:r>
      <w:r>
        <w:t xml:space="preserve"> </w:t>
      </w:r>
      <w:r>
        <w:t xml:space="preserve">(</w:t>
      </w:r>
      <w:r>
        <w:rPr>
          <w:b/>
          <w:bCs/>
        </w:rPr>
        <w:t xml:space="preserve">usis SJEVER → agregat → izlaz ZAPAD</w:t>
      </w:r>
      <w:r>
        <w:t xml:space="preserve">). Nije dozvoljeno izvesti usis, izlaz i</w:t>
      </w:r>
      <w:r>
        <w:t xml:space="preserve"> </w:t>
      </w:r>
      <w:r>
        <w:t xml:space="preserve">izduv na istom zidu, niti usmjeriti topli zrak ili izduv prema SJEVERNOJ strani, gdje</w:t>
      </w:r>
      <w:r>
        <w:t xml:space="preserve"> </w:t>
      </w:r>
      <w:r>
        <w:t xml:space="preserve">su vanjski ormari i usis svježeg zraka. Nije dozvoljeno izvesti dovod zraka kroz</w:t>
      </w:r>
      <w:r>
        <w:t xml:space="preserve"> </w:t>
      </w:r>
      <w:r>
        <w:t xml:space="preserve">ulazna vrata.</w:t>
      </w:r>
    </w:p>
    <w:bookmarkEnd w:id="36"/>
    <w:bookmarkStart w:id="37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 i dužine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 </w:t>
            </w:r>
            <w:r>
              <w:t xml:space="preserve">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mm, razvijena površina</w:t>
            </w:r>
            <w:r>
              <w:t xml:space="preserve"> </w:t>
            </w:r>
            <w:r>
              <w:rPr>
                <w:b/>
                <w:bCs/>
              </w:rPr>
              <w:t xml:space="preserve">≈3,0 m²</w:t>
            </w:r>
            <w:r>
              <w:t xml:space="preserve">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</w:t>
            </w:r>
          </w:p>
        </w:tc>
      </w:tr>
    </w:tbl>
    <w:bookmarkEnd w:id="37"/>
    <w:bookmarkStart w:id="38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/>
                <w:bCs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/>
                <w:bCs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2 × 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objekat ima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 h = 38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snimiti stanje i prevezati postojeće krugove u novi GRO; signalna rasvjeta antenskog stuba (K7)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DC.</w:t>
      </w:r>
      <w:r>
        <w:t xml:space="preserve"> </w:t>
      </w:r>
      <w:r>
        <w:t xml:space="preserve">Agregat je jedini izvor izmjeničnog napona:</w:t>
      </w:r>
      <w:r>
        <w:t xml:space="preserve"> </w:t>
      </w:r>
      <w:r>
        <w:t xml:space="preserve">izvodi GRO (rasvjeta, utičnice, pomoćni potrošači agregata, napajanje ispravljača) su pod</w:t>
      </w:r>
      <w:r>
        <w:t xml:space="preserve"> </w:t>
      </w:r>
      <w:r>
        <w:t xml:space="preserve">naponom samo dok agregat radi. Potrošači koji moraju raditi i kad agregat ne radi</w:t>
      </w:r>
      <w:r>
        <w:t xml:space="preserve"> </w:t>
      </w:r>
      <w:r>
        <w:t xml:space="preserve">napajaju se sa −48 V DC iz ormara Huawei ICC360-HA1-C1 — sa slobodnog DC izvoda sa</w:t>
      </w:r>
      <w:r>
        <w:t xml:space="preserve"> </w:t>
      </w:r>
      <w:r>
        <w:t xml:space="preserve">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Svjetiljka za obilježavanje antenskog stuba (K7)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38"/>
    <w:bookmarkStart w:id="39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3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lokacija nema priključak EES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na lokaciji je 11,6 kW, a neograničen ispravljački</w:t>
      </w:r>
      <w:r>
        <w:t xml:space="preserve"> </w:t>
      </w:r>
      <w:r>
        <w:t xml:space="preserve">sistem vuče ≈12,5 kW. Granica ujedno drži agregat iznad 30 % opterećenja i</w:t>
      </w:r>
      <w:r>
        <w:t xml:space="preserve"> </w:t>
      </w:r>
      <w:r>
        <w:t xml:space="preserve">sprječava mokri rad motora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4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4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11–17 %</w:t>
      </w:r>
    </w:p>
    <w:p>
      <w:pPr>
        <w:pStyle w:val="Compact"/>
        <w:numPr>
          <w:ilvl w:val="1"/>
          <w:numId w:val="1004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4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3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3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39"/>
    <w:bookmarkStart w:id="40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5"/>
        </w:numPr>
      </w:pPr>
      <w:r>
        <w:t xml:space="preserve">elaborat zaštite od požara za prostor sa 500 l dizel goriva — tokom primopredaje</w:t>
      </w:r>
    </w:p>
    <w:p>
      <w:pPr>
        <w:pStyle w:val="Compact"/>
        <w:numPr>
          <w:ilvl w:val="0"/>
          <w:numId w:val="1005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5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5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5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5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5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za qp ≥ 1,20 kN/m² pri 45°, ovjeren i potpisan od ovlaštenog inženjera, sa dokazom na podizanje i prevrtanje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Tehnički nacrti konstrukcije i temelja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10 %)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</w:tbl>
    <w:bookmarkEnd w:id="42"/>
    <w:bookmarkStart w:id="43" w:name="ispitivanja-i-puštanje-u-rad"/>
    <w:p>
      <w:pPr>
        <w:pStyle w:val="Heading2"/>
      </w:pPr>
      <w:r>
        <w:t xml:space="preserve">6. Ispitivanja i puštanje u rad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43"/>
    <w:bookmarkStart w:id="44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6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6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6"/>
        </w:numPr>
      </w:pPr>
      <w:r>
        <w:t xml:space="preserve">spisak preporučenih rezervnih dijelova za 500 h rada agregata</w:t>
      </w:r>
    </w:p>
    <w:p>
      <w:pPr>
        <w:pStyle w:val="Compact"/>
        <w:numPr>
          <w:ilvl w:val="0"/>
          <w:numId w:val="1006"/>
        </w:numPr>
      </w:pPr>
      <w:r>
        <w:t xml:space="preserve">dokumentacija izvedenog stanja i uputstva za pogon i održavanje</w:t>
      </w:r>
    </w:p>
    <w:p>
      <w:r>
        <w:pict>
          <v:rect style="width:0;height:1.5pt" o:hralign="center" o:hrstd="t" o:hr="t"/>
        </w:pict>
      </w:r>
    </w:p>
    <w:bookmarkEnd w:id="44"/>
    <w:bookmarkStart w:id="51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(2005–2023):</w:t>
      </w:r>
      <w:r>
        <w:t xml:space="preserve"> </w:t>
      </w:r>
      <w:r>
        <w:t xml:space="preserve">ozračenje lokacije iz PVGIS-SARAH3, FN lanac sa gubicima po komponentama (uključujući</w:t>
      </w:r>
      <w:r>
        <w:t xml:space="preserve"> </w:t>
      </w:r>
      <w:r>
        <w:t xml:space="preserve">krivulju efikasnosti iSSU S4875G2), baterije 48,6 kWh (6 × 150 Ah), pomoćnu potrošnju od</w:t>
      </w:r>
      <w:r>
        <w:t xml:space="preserve"> </w:t>
      </w:r>
      <w:r>
        <w:t xml:space="preserve">45 W sa trajnim potrošačima iz Tačke 4.5 i agregat preko ispravljača ograničenih na</w:t>
      </w:r>
      <w:r>
        <w:t xml:space="preserve"> </w:t>
      </w:r>
      <w:r>
        <w:t xml:space="preserve">9,5 kW, uz parametriranje SMU iz Tačke 4.6. Metoda, provjera prema</w:t>
      </w:r>
      <w:r>
        <w:t xml:space="preserve"> </w:t>
      </w:r>
      <w:r>
        <w:t xml:space="preserve">PVGIS-u, gubici i osjetljivost na postavke su u Proračunima, dio A.6.</w:t>
      </w:r>
      <w:r>
        <w:t xml:space="preserve"> </w:t>
      </w:r>
      <w:r>
        <w:rPr>
          <w:b/>
          <w:bCs/>
        </w:rPr>
        <w:t xml:space="preserve">Vrijednosti su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informativne i ne mijenjaju zahtjeve Tačaka 3 i 4.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≈10 140 kWh/god (1 444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 (1180 W TK + hlađenje ormara, pomoćna potrošnja i trajni potrošači na −48 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</w:t>
            </w:r>
          </w:p>
        </w:tc>
        <w:tc>
          <w:tcPr/>
          <w:p>
            <w:pPr>
              <w:pStyle w:val="Compact"/>
            </w:pPr>
            <w:r>
              <w:t xml:space="preserve">FN ≈560 kWh prema potrošnji ≈910 kWh — razliku pokriva agregat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79,2 %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≈250 h/god</w:t>
            </w:r>
            <w:r>
              <w:t xml:space="preserve"> </w:t>
            </w:r>
            <w:r>
              <w:t xml:space="preserve">u prosjeku; u 9 od 10 godina do ≈310 h; najviše ≈330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≈90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≈820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≈280 h i trošio ≈910 l goriva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6 — Mjesečni energetski bilans: FN proizvodnja, agregat i potrošnja (prosjek i raspon 2005–2023)" title="" id="46" name="Picture"/>
            <a:graphic>
              <a:graphicData uri="http://schemas.openxmlformats.org/drawingml/2006/picture">
                <pic:pic>
                  <pic:nvPicPr>
                    <pic:cNvPr descr="../TD-OUTPUT/grafika/prilog1/energetski-bilan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Mjesečni energetski bilans: FN proizvodnja, agregat i potrošnja (prosjek i raspon 2005–2023)</w:t>
      </w:r>
    </w:p>
    <w:p>
      <w:pPr>
        <w:pStyle w:val="CaptionedFigure"/>
      </w:pPr>
      <w:r>
        <w:drawing>
          <wp:inline>
            <wp:extent cx="5382016" cy="2676394"/>
            <wp:effectExtent b="0" l="0" r="0" t="0"/>
            <wp:docPr descr="Slika 7 — Horizont lokacije i putanje Sunca (PVGIS DEM)" title="" id="49" name="Picture"/>
            <a:graphic>
              <a:graphicData uri="http://schemas.openxmlformats.org/drawingml/2006/picture">
                <pic:pic>
                  <pic:nvPicPr>
                    <pic:cNvPr descr="../TD-OUTPUT/grafika/prilog1/horizo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76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Horizont lokacije i putanje Sunca (PVGIS DEM)</w:t>
      </w:r>
    </w:p>
    <w:bookmarkEnd w:id="51"/>
    <w:bookmarkEnd w:id="52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2026-09-11T14:53:21Z</dcterms:created>
  <dcterms:modified xsi:type="dcterms:W3CDTF">2026-09-11T14:53:21Z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