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2.png" ContentType="image/png"/>
  <Override PartName="/word/media/rId45.png" ContentType="image/png"/>
  <Override PartName="/word/media/rId48.png" ContentType="image/png"/>
  <Override PartName="/word/media/rId33.png" ContentType="image/png"/>
  <Override PartName="/word/media/rId26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prilog-i-td-specifikacija-zahtjeva"/>
    <w:p>
      <w:pPr>
        <w:pStyle w:val="Heading1"/>
      </w:pPr>
      <w:r>
        <w:t xml:space="preserve">PRILOG I TD — SPECIFIKACIJA ZAHTJEVA</w:t>
      </w:r>
    </w:p>
    <w:p>
      <w:pPr>
        <w:pStyle w:val="FirstParagraph"/>
      </w:pPr>
      <w:r>
        <w:rPr>
          <w:b/>
          <w:bCs/>
        </w:rPr>
        <w:t xml:space="preserve">Autonomni hibridni sistem napajanja — SJEDNICA (Bileća)</w:t>
      </w:r>
      <w:r>
        <w:t xml:space="preserve"> </w:t>
      </w:r>
      <w:r>
        <w:t xml:space="preserve">LOT 1: nosači fotonaponskih panela · LOT 2: dizel električni agregat u kontejneru</w:t>
      </w:r>
    </w:p>
    <w:p>
      <w:pPr>
        <w:pStyle w:val="BodyText"/>
      </w:pPr>
      <w:r>
        <w:rPr>
          <w:b/>
          <w:bCs/>
        </w:rPr>
        <w:t xml:space="preserve">Verzija:</w:t>
      </w:r>
      <w:r>
        <w:t xml:space="preserve"> </w:t>
      </w:r>
      <w:r>
        <w:t xml:space="preserve">Rev 9, 11.09.2026.</w:t>
      </w:r>
    </w:p>
    <w:p>
      <w:pPr>
        <w:pStyle w:val="BodyText"/>
      </w:pPr>
      <w:r>
        <w:t xml:space="preserve">Ovaj Prilog utvrđuje tehničke zahtjeve i dokaze koje Ponuđač dostavlja</w:t>
      </w:r>
      <w:r>
        <w:t xml:space="preserve"> </w:t>
      </w:r>
      <w:r>
        <w:rPr>
          <w:b/>
          <w:bCs/>
        </w:rPr>
        <w:t xml:space="preserve">UZ PONUDU</w:t>
      </w:r>
      <w:r>
        <w:t xml:space="preserve"> </w:t>
      </w:r>
      <w:r>
        <w:t xml:space="preserve">kao uslov kvalifikacije — ponuda koja ih ne sadrži smatra se neprihvatljivom.</w:t>
      </w:r>
    </w:p>
    <w:p>
      <w:pPr>
        <w:pStyle w:val="BodyText"/>
      </w:pPr>
      <w:r>
        <w:t xml:space="preserve">U slučaju neslaganja između dokumenata TD mjerodavni su redom: (1) Tenderska</w:t>
      </w:r>
      <w:r>
        <w:t xml:space="preserve"> </w:t>
      </w:r>
      <w:r>
        <w:t xml:space="preserve">dokumentacija (TD), (2) Prilog I, (3) Prilog II (Predmjer), (4) Prilog III (grafički</w:t>
      </w:r>
      <w:r>
        <w:t xml:space="preserve"> </w:t>
      </w:r>
      <w:r>
        <w:t xml:space="preserve">prilozi).</w:t>
      </w:r>
    </w:p>
    <w:p>
      <w:pPr>
        <w:pStyle w:val="BodyText"/>
      </w:pPr>
      <w:r>
        <w:t xml:space="preserve">Prilog III sadrži i preuzete stranice ranije dokumentacije, koje služe samo kao</w:t>
      </w:r>
      <w:r>
        <w:t xml:space="preserve"> </w:t>
      </w:r>
      <w:r>
        <w:t xml:space="preserve">podloga;</w:t>
      </w:r>
      <w:r>
        <w:t xml:space="preserve"> </w:t>
      </w:r>
      <w:r>
        <w:rPr>
          <w:b/>
          <w:bCs/>
        </w:rPr>
        <w:t xml:space="preserve">mjerodavan raspored opreme i otvora u kontejneru je onaj sa crteža M-01.</w:t>
      </w:r>
    </w:p>
    <w:p>
      <w:r>
        <w:pict>
          <v:rect style="width:0;height:1.5pt" o:hralign="center" o:hrstd="t" o:hr="t"/>
        </w:pict>
      </w:r>
    </w:p>
    <w:bookmarkStart w:id="10" w:name="osnovni-parametri-lokaliteta"/>
    <w:p>
      <w:pPr>
        <w:pStyle w:val="Heading2"/>
      </w:pPr>
      <w:r>
        <w:t xml:space="preserve">1. Osnovni parametri lokaliteta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Vrijednost/Opis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Lokacija</w:t>
            </w:r>
          </w:p>
        </w:tc>
        <w:tc>
          <w:tcPr/>
          <w:p>
            <w:pPr>
              <w:pStyle w:val="Compact"/>
            </w:pPr>
            <w:r>
              <w:t xml:space="preserve">Sjednica, Bileća, BiH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Koordinate</w:t>
            </w:r>
          </w:p>
        </w:tc>
        <w:tc>
          <w:tcPr/>
          <w:p>
            <w:pPr>
              <w:pStyle w:val="Compact"/>
            </w:pPr>
            <w:r>
              <w:t xml:space="preserve">42,9448° N · 18,3236°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Nadmorska visina</w:t>
            </w:r>
          </w:p>
        </w:tc>
        <w:tc>
          <w:tcPr/>
          <w:p>
            <w:pPr>
              <w:pStyle w:val="Compact"/>
            </w:pPr>
            <w:r>
              <w:t xml:space="preserve">1076 m n.v.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Priključak 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Bilans potrošnje</w:t>
            </w:r>
          </w:p>
        </w:tc>
        <w:tc>
          <w:tcPr/>
          <w:p>
            <w:pPr>
              <w:pStyle w:val="Compact"/>
            </w:pPr>
            <w:r>
              <w:t xml:space="preserve">Konstantno, 1180 W nazivno / 1330 W maksimalno, −48 V 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Zakupljeni prostor</w:t>
            </w:r>
          </w:p>
        </w:tc>
        <w:tc>
          <w:tcPr/>
          <w:p>
            <w:pPr>
              <w:pStyle w:val="Compact"/>
            </w:pPr>
            <w:r>
              <w:t xml:space="preserve">≈150 m² (16,00 × 9,40 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Postojeći objekat</w:t>
            </w:r>
          </w:p>
        </w:tc>
        <w:tc>
          <w:tcPr/>
          <w:p>
            <w:pPr>
              <w:pStyle w:val="Compact"/>
            </w:pPr>
            <w:r>
              <w:t xml:space="preserve">AB ploča 5,40 × 5,40 m, ograda h = 2,10 m, kapija 1,00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Antenski stub</w:t>
            </w:r>
          </w:p>
        </w:tc>
        <w:tc>
          <w:tcPr/>
          <w:p>
            <w:pPr>
              <w:pStyle w:val="Compact"/>
            </w:pPr>
            <w:r>
              <w:t xml:space="preserve">rešetkasti, h = 38 m, baza 4,20 × 4,20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Kontejner</w:t>
            </w:r>
          </w:p>
        </w:tc>
        <w:tc>
          <w:tcPr/>
          <w:p>
            <w:pPr>
              <w:pStyle w:val="Compact"/>
            </w:pPr>
            <w:r>
              <w:t xml:space="preserve">3,00 × 2,30 m vanjski, zidni paneli 60 mm, bez opreme; ulazna vrata 900 × 2000 mm na ISTOČNOM zidu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Nosivost poda kontejnera</w:t>
            </w:r>
          </w:p>
        </w:tc>
        <w:tc>
          <w:tcPr/>
          <w:p>
            <w:pPr>
              <w:pStyle w:val="Compact"/>
            </w:pPr>
            <w:r>
              <w:t xml:space="preserve">10,00 kN/m² ukupno (g+p), ravnomjerno raspodijeljeno — ovjereni projekat lokacije, „04 AG dio”, tačka 4.4.2.3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napajanja</w:t>
            </w:r>
          </w:p>
        </w:tc>
        <w:tc>
          <w:tcPr/>
          <w:p>
            <w:pPr>
              <w:pStyle w:val="Compact"/>
            </w:pPr>
            <w:r>
              <w:t xml:space="preserve">Huawei ICC360-HA1-C1 (PowerCube 1000) i MTS9302A, vanjski ormari smješteni uz SJEVERNI zid kontejnera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Uzemljenje</w:t>
            </w:r>
          </w:p>
        </w:tc>
        <w:tc>
          <w:tcPr/>
          <w:p>
            <w:pPr>
              <w:pStyle w:val="Compact"/>
            </w:pPr>
            <w:r>
              <w:t xml:space="preserve">postojeći prstenasti uzemljivač Fe/Zn 25 × 4 mm</w:t>
            </w:r>
          </w:p>
        </w:tc>
      </w:tr>
    </w:tbl>
    <w:bookmarkStart w:id="9" w:name="klimatski-i-geotehnički-uslovi"/>
    <w:p>
      <w:pPr>
        <w:pStyle w:val="Heading3"/>
      </w:pPr>
      <w:r>
        <w:t xml:space="preserve">1.1 Klimatski i geotehnički uslovi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Uticaj</w:t>
            </w:r>
          </w:p>
        </w:tc>
        <w:tc>
          <w:tcPr/>
          <w:p>
            <w:pPr>
              <w:pStyle w:val="Compact"/>
            </w:pPr>
            <w:r>
              <w:t xml:space="preserve">Projektna vrijednost</w:t>
            </w:r>
          </w:p>
        </w:tc>
        <w:tc>
          <w:tcPr/>
          <w:p>
            <w:pPr>
              <w:pStyle w:val="Compact"/>
            </w:pPr>
            <w:r>
              <w:t xml:space="preserve">Napomena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Vjetar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qp ≥ 1,20 kN/m²</w:t>
            </w:r>
            <w:r>
              <w:t xml:space="preserve"> </w:t>
            </w:r>
            <w:r>
              <w:t xml:space="preserve">(udar 3 s ≈ 45 m/s)</w:t>
            </w:r>
          </w:p>
        </w:tc>
        <w:tc>
          <w:tcPr/>
          <w:p>
            <w:pPr>
              <w:pStyle w:val="Compact"/>
            </w:pPr>
            <w:r>
              <w:t xml:space="preserve">ovjereni projekat lokacije i BAS EN 1991-1-4 + BiH NA, sa orografijom —</w:t>
            </w:r>
            <w:r>
              <w:t xml:space="preserve"> </w:t>
            </w:r>
            <w:r>
              <w:rPr>
                <w:b/>
                <w:bCs/>
              </w:rPr>
              <w:t xml:space="preserve">mjerodavno dejstvo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Snijeg</w:t>
            </w:r>
          </w:p>
        </w:tc>
        <w:tc>
          <w:tcPr/>
          <w:p>
            <w:pPr>
              <w:pStyle w:val="Compact"/>
            </w:pPr>
            <w:r>
              <w:t xml:space="preserve">prema BAS EN 1991-1-3 + BiH NA</w:t>
            </w:r>
          </w:p>
        </w:tc>
        <w:tc>
          <w:tcPr/>
          <w:p>
            <w:pPr>
              <w:pStyle w:val="Compact"/>
            </w:pPr>
            <w:r>
              <w:t xml:space="preserve">pri nagibu 45° μ₁ = 0,4; uz opaženih ≈0,5 m visine snijega to je ≈0,6 kN/m², upola manje od vjetra. Provjera je obavezna, ali nije mjerodavna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</w:t>
            </w:r>
          </w:p>
        </w:tc>
        <w:tc>
          <w:tcPr/>
          <w:p>
            <w:pPr>
              <w:pStyle w:val="Compact"/>
            </w:pPr>
            <w:r>
              <w:t xml:space="preserve">radijalni 20 mm, gustina 300 kg/m³</w:t>
            </w:r>
          </w:p>
        </w:tc>
        <w:tc>
          <w:tcPr/>
          <w:p>
            <w:pPr>
              <w:pStyle w:val="Compact"/>
            </w:pPr>
            <w:r>
              <w:t xml:space="preserve">izložen planinski vrh; mjerodavan kao akrecija na profile i spojeve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Temperatura</w:t>
            </w:r>
          </w:p>
        </w:tc>
        <w:tc>
          <w:tcPr/>
          <w:p>
            <w:pPr>
              <w:pStyle w:val="Compact"/>
            </w:pPr>
            <w:r>
              <w:t xml:space="preserve">−25 °C do +50 °C</w:t>
            </w:r>
          </w:p>
        </w:tc>
        <w:tc>
          <w:tcPr/>
          <w:p>
            <w:pPr>
              <w:pStyle w:val="Compact"/>
            </w:pPr>
            <w:r>
              <w:t xml:space="preserve">radni opseg opreme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Gustina zraka</w:t>
            </w:r>
          </w:p>
        </w:tc>
        <w:tc>
          <w:tcPr/>
          <w:p>
            <w:pPr>
              <w:pStyle w:val="Compact"/>
            </w:pPr>
            <w:r>
              <w:t xml:space="preserve">1,04–1,09 kg/m³ na 1076 m</w:t>
            </w:r>
          </w:p>
        </w:tc>
        <w:tc>
          <w:tcPr/>
          <w:p>
            <w:pPr>
              <w:pStyle w:val="Compact"/>
            </w:pPr>
            <w:r>
              <w:t xml:space="preserve">derating agregata i dimenzionisanje ventilacije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Tlo</w:t>
            </w:r>
          </w:p>
        </w:tc>
        <w:tc>
          <w:tcPr/>
          <w:p>
            <w:pPr>
              <w:pStyle w:val="Compact"/>
            </w:pPr>
            <w:r>
              <w:t xml:space="preserve">kamenito (krš); nosivost ≥100 kPa</w:t>
            </w:r>
          </w:p>
        </w:tc>
        <w:tc>
          <w:tcPr/>
          <w:p>
            <w:pPr>
              <w:pStyle w:val="Compact"/>
            </w:pPr>
            <w:r>
              <w:t xml:space="preserve">Ponuđač potvrđuje geomehaničkim uvidom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Smrzavanje</w:t>
            </w:r>
          </w:p>
        </w:tc>
        <w:tc>
          <w:tcPr/>
          <w:p>
            <w:pPr>
              <w:pStyle w:val="Compact"/>
            </w:pPr>
            <w:r>
              <w:t xml:space="preserve">temeljna spojnica ispod dubine smrzavanja</w:t>
            </w:r>
          </w:p>
        </w:tc>
        <w:tc>
          <w:tcPr/>
          <w:p>
            <w:pPr>
              <w:pStyle w:val="Compact"/>
            </w:pPr>
            <w:r>
              <w:t xml:space="preserve">Ponuđač navodi usvojenu dubinu u dnevniku/knjizi</w:t>
            </w:r>
          </w:p>
        </w:tc>
      </w:tr>
    </w:tbl>
    <w:bookmarkEnd w:id="9"/>
    <w:bookmarkEnd w:id="10"/>
    <w:bookmarkStart w:id="11" w:name="referentni-standardi"/>
    <w:p>
      <w:pPr>
        <w:pStyle w:val="Heading2"/>
      </w:pPr>
      <w:r>
        <w:t xml:space="preserve">2. Referentni standardi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Oblast</w:t>
            </w:r>
          </w:p>
        </w:tc>
        <w:tc>
          <w:tcPr/>
          <w:p>
            <w:pPr>
              <w:pStyle w:val="Compact"/>
            </w:pPr>
            <w:r>
              <w:t xml:space="preserve">Standardi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Osnove proračuna</w:t>
            </w:r>
          </w:p>
        </w:tc>
        <w:tc>
          <w:tcPr/>
          <w:p>
            <w:pPr>
              <w:pStyle w:val="Compact"/>
            </w:pPr>
            <w:r>
              <w:t xml:space="preserve">BAS EN 1990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Dejstva</w:t>
            </w:r>
          </w:p>
        </w:tc>
        <w:tc>
          <w:tcPr/>
          <w:p>
            <w:pPr>
              <w:pStyle w:val="Compact"/>
            </w:pPr>
            <w:r>
              <w:t xml:space="preserve">BAS EN 1991-1-3 (snijeg), BAS EN 1991-1-4 (vjetar), sa BiH 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Beton i čelik</w:t>
            </w:r>
          </w:p>
        </w:tc>
        <w:tc>
          <w:tcPr/>
          <w:p>
            <w:pPr>
              <w:pStyle w:val="Compact"/>
            </w:pPr>
            <w:r>
              <w:t xml:space="preserve">BAS EN 1992-1-1, BAS EN 1993-1-1, BAS EN 206, EN 10025-2, EN 10219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Geotehnika</w:t>
            </w:r>
          </w:p>
        </w:tc>
        <w:tc>
          <w:tcPr/>
          <w:p>
            <w:pPr>
              <w:pStyle w:val="Compact"/>
            </w:pPr>
            <w:r>
              <w:t xml:space="preserve">BAS EN 1997-1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Izrada čeličnih konstrukcija</w:t>
            </w:r>
          </w:p>
        </w:tc>
        <w:tc>
          <w:tcPr/>
          <w:p>
            <w:pPr>
              <w:pStyle w:val="Compact"/>
            </w:pPr>
            <w:r>
              <w:t xml:space="preserve">EN 1090-1, EN 1090-2 (EXC2)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</w:pPr>
            <w:r>
              <w:t xml:space="preserve">EN ISO 1461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Elektroinstalacije</w:t>
            </w:r>
          </w:p>
        </w:tc>
        <w:tc>
          <w:tcPr/>
          <w:p>
            <w:pPr>
              <w:pStyle w:val="Compact"/>
            </w:pPr>
            <w:r>
              <w:t xml:space="preserve">IEC 60364 (tj. 60364-4-41), BAS EN 60529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Gromobranska zaštita</w:t>
            </w:r>
          </w:p>
        </w:tc>
        <w:tc>
          <w:tcPr/>
          <w:p>
            <w:pPr>
              <w:pStyle w:val="Compact"/>
            </w:pPr>
            <w:r>
              <w:t xml:space="preserve">EN 62305-1 do 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Prenaponska zaštita</w:t>
            </w:r>
          </w:p>
        </w:tc>
        <w:tc>
          <w:tcPr/>
          <w:p>
            <w:pPr>
              <w:pStyle w:val="Compact"/>
            </w:pPr>
            <w:r>
              <w:t xml:space="preserve">EN 61643-11, EN 61643-21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Fotonaponski sistemi</w:t>
            </w:r>
          </w:p>
        </w:tc>
        <w:tc>
          <w:tcPr/>
          <w:p>
            <w:pPr>
              <w:pStyle w:val="Compact"/>
            </w:pPr>
            <w:r>
              <w:t xml:space="preserve">IEC 62548, IEC 62852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Agregati</w:t>
            </w:r>
          </w:p>
        </w:tc>
        <w:tc>
          <w:tcPr/>
          <w:p>
            <w:pPr>
              <w:pStyle w:val="Compact"/>
            </w:pPr>
            <w:r>
              <w:t xml:space="preserve">ISO 8528-1, ISO 8528-3, ISO 3046-1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od požara</w:t>
            </w:r>
          </w:p>
        </w:tc>
        <w:tc>
          <w:tcPr/>
          <w:p>
            <w:pPr>
              <w:pStyle w:val="Compact"/>
            </w:pPr>
            <w:r>
              <w:t xml:space="preserve">važeći propisi RS/BiH; elaborat zaštite od požara</w:t>
            </w:r>
          </w:p>
        </w:tc>
      </w:tr>
    </w:tbl>
    <w:p>
      <w:pPr>
        <w:pStyle w:val="BodyText"/>
      </w:pPr>
      <w:r>
        <w:rPr>
          <w:b/>
          <w:bCs/>
        </w:rPr>
        <w:t xml:space="preserve">Dokumentacija proizvođača opreme:</w:t>
      </w:r>
      <w:r>
        <w:t xml:space="preserve"> </w:t>
      </w:r>
      <w:r>
        <w:t xml:space="preserve">FG Wilson P18-6 (Skid) TDS 2019-08-14; Huawei</w:t>
      </w:r>
      <w:r>
        <w:t xml:space="preserve"> </w:t>
      </w:r>
      <w:r>
        <w:t xml:space="preserve">PV Module Solution User Manual; Huawei MTS9300A Telecom Power Installation Guide;</w:t>
      </w:r>
      <w:r>
        <w:t xml:space="preserve"> </w:t>
      </w:r>
      <w:r>
        <w:t xml:space="preserve">Huawei ICC360-HA1-C1 (PowerCube 1000) Installation Guide.</w:t>
      </w:r>
    </w:p>
    <w:p>
      <w:r>
        <w:pict>
          <v:rect style="width:0;height:1.5pt" o:hralign="center" o:hrstd="t" o:hr="t"/>
        </w:pict>
      </w:r>
    </w:p>
    <w:bookmarkEnd w:id="11"/>
    <w:bookmarkStart w:id="18" w:name="X060e908177c6b3f0529920e76e7367835a3b0e4"/>
    <w:p>
      <w:pPr>
        <w:pStyle w:val="Heading2"/>
      </w:pPr>
      <w:r>
        <w:t xml:space="preserve">3. LOT 1 — Infrastruktura fotonaponskih panela</w:t>
      </w:r>
    </w:p>
    <w:bookmarkStart w:id="12" w:name="konfiguracija"/>
    <w:p>
      <w:pPr>
        <w:pStyle w:val="Heading3"/>
      </w:pPr>
      <w:r>
        <w:t xml:space="preserve">3.1 Konfiguracija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nosača</w:t>
            </w:r>
          </w:p>
        </w:tc>
        <w:tc>
          <w:tcPr/>
          <w:p>
            <w:pPr>
              <w:pStyle w:val="Compact"/>
            </w:pPr>
            <w:r>
              <w:t xml:space="preserve">3 kom × 4 modula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stringova</w:t>
            </w:r>
          </w:p>
        </w:tc>
        <w:tc>
          <w:tcPr/>
          <w:p>
            <w:pPr>
              <w:pStyle w:val="Compact"/>
            </w:pPr>
            <w:r>
              <w:t xml:space="preserve">2 stringa × 6 modula (Voc ≈309 V, Imp 13,67 A) — po jedan string na svaku od dvije rute PVDB ormara; string se prostire preko dva nosača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modula</w:t>
            </w:r>
          </w:p>
        </w:tc>
        <w:tc>
          <w:tcPr/>
          <w:p>
            <w:pPr>
              <w:pStyle w:val="Compact"/>
            </w:pPr>
            <w:r>
              <w:t xml:space="preserve">12 × 585 Wp = 7,02 kWp; 4 modula po nosaču, 2 reda × 2 stupca, portret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 PV modula</w:t>
            </w:r>
          </w:p>
        </w:tc>
        <w:tc>
          <w:tcPr/>
          <w:p>
            <w:pPr>
              <w:pStyle w:val="Compact"/>
            </w:pPr>
            <w:r>
              <w:t xml:space="preserve">Huawei iPV585-M2A (2278 × 1134 × 30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Nagib</w:t>
            </w:r>
          </w:p>
        </w:tc>
        <w:tc>
          <w:tcPr/>
          <w:p>
            <w:pPr>
              <w:pStyle w:val="Compact"/>
            </w:pPr>
            <w:r>
              <w:t xml:space="preserve">fiksno 45°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Azimut</w:t>
            </w:r>
          </w:p>
        </w:tc>
        <w:tc>
          <w:tcPr/>
          <w:p>
            <w:pPr>
              <w:pStyle w:val="Compact"/>
            </w:pPr>
            <w:r>
              <w:t xml:space="preserve">180° (JUG)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Širina PV polja</w:t>
            </w:r>
          </w:p>
        </w:tc>
        <w:tc>
          <w:tcPr/>
          <w:p>
            <w:pPr>
              <w:pStyle w:val="Compact"/>
            </w:pPr>
            <w:r>
              <w:t xml:space="preserve">2305 mm (poprečna greda 2918 mm, bočni prepust 306,5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Dužina PV polja po nagibu</w:t>
            </w:r>
          </w:p>
        </w:tc>
        <w:tc>
          <w:tcPr/>
          <w:p>
            <w:pPr>
              <w:pStyle w:val="Compact"/>
            </w:pPr>
            <w:r>
              <w:t xml:space="preserve">4576 mm (2 × 2278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Horizontalna projekcija</w:t>
            </w:r>
          </w:p>
        </w:tc>
        <w:tc>
          <w:tcPr/>
          <w:p>
            <w:pPr>
              <w:pStyle w:val="Compact"/>
            </w:pPr>
            <w:r>
              <w:t xml:space="preserve">3236 mm pri 45°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Donja / gornja ivica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+0,50 m / +3,74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Nadvišenje ograde</w:t>
            </w:r>
          </w:p>
        </w:tc>
        <w:tc>
          <w:tcPr/>
          <w:p>
            <w:pPr>
              <w:pStyle w:val="Compact"/>
            </w:pPr>
            <w:r>
              <w:t xml:space="preserve">1,64 m iznad kote ograde h = 2,10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Površina izloženosti vjetru</w:t>
            </w:r>
          </w:p>
        </w:tc>
        <w:tc>
          <w:tcPr/>
          <w:p>
            <w:pPr>
              <w:pStyle w:val="Compact"/>
            </w:pPr>
            <w:r>
              <w:t xml:space="preserve">10,55 m² po nosaču</w:t>
            </w:r>
          </w:p>
        </w:tc>
      </w:tr>
    </w:tbl>
    <w:bookmarkEnd w:id="12"/>
    <w:bookmarkStart w:id="13" w:name="projektna-opterećenja-konstrukcije"/>
    <w:p>
      <w:pPr>
        <w:pStyle w:val="Heading3"/>
      </w:pPr>
      <w:r>
        <w:t xml:space="preserve">3.2 Projektna opterećenja konstrukcije</w:t>
      </w:r>
    </w:p>
    <w:p>
      <w:pPr>
        <w:pStyle w:val="FirstParagraph"/>
      </w:pPr>
      <w:r>
        <w:rPr>
          <w:b/>
          <w:bCs/>
        </w:rPr>
        <w:t xml:space="preserve">Izrada konstrukcije:</w:t>
      </w:r>
      <w:r>
        <w:t xml:space="preserve"> </w:t>
      </w:r>
      <w:r>
        <w:t xml:space="preserve">zahtijeva se</w:t>
      </w:r>
      <w:r>
        <w:t xml:space="preserve"> </w:t>
      </w:r>
      <w:r>
        <w:rPr>
          <w:b/>
          <w:bCs/>
        </w:rPr>
        <w:t xml:space="preserve">CUSTOM IZRADA</w:t>
      </w:r>
      <w:r>
        <w:t xml:space="preserve"> </w:t>
      </w:r>
      <w:r>
        <w:t xml:space="preserve">konstrukcije dimenzionisana i</w:t>
      </w:r>
      <w:r>
        <w:t xml:space="preserve"> </w:t>
      </w:r>
      <w:r>
        <w:t xml:space="preserve">dokazana za stvarna opterećenja i uticaje na lokalitetu. Nijedan kataloški nagib</w:t>
      </w:r>
      <w:r>
        <w:t xml:space="preserve"> </w:t>
      </w:r>
      <w:r>
        <w:t xml:space="preserve">Huawei nosača tipa A nije usklađen sa qp lokacije (deklarisano 0,52–0,87 kN/m² prema</w:t>
      </w:r>
      <w:r>
        <w:t xml:space="preserve"> </w:t>
      </w:r>
      <w:r>
        <w:t xml:space="preserve">zahtijevanih 1,20 kN/m²).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Pritisak vjetra</w:t>
            </w:r>
          </w:p>
        </w:tc>
        <w:tc>
          <w:tcPr/>
          <w:p>
            <w:pPr>
              <w:pStyle w:val="Compact"/>
            </w:pPr>
            <w:r>
              <w:t xml:space="preserve">qp ≥ 1,20 kN/m² (udar 3 s ≈ 45 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Koeficijent sile</w:t>
            </w:r>
          </w:p>
        </w:tc>
        <w:tc>
          <w:tcPr/>
          <w:p>
            <w:pPr>
              <w:pStyle w:val="Compact"/>
            </w:pPr>
            <w:r>
              <w:t xml:space="preserve">cf ≥ 1,5 pri 45° prema EN 1991-1-4 §7.3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Površina izloženosti vjetru</w:t>
            </w:r>
          </w:p>
        </w:tc>
        <w:tc>
          <w:tcPr/>
          <w:p>
            <w:pPr>
              <w:pStyle w:val="Compact"/>
            </w:pPr>
            <w:r>
              <w:t xml:space="preserve">10,55 m² po nosaču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Sila podizanja po nosaču</w:t>
            </w:r>
          </w:p>
        </w:tc>
        <w:tc>
          <w:tcPr/>
          <w:p>
            <w:pPr>
              <w:pStyle w:val="Compact"/>
            </w:pPr>
            <w:r>
              <w:t xml:space="preserve">≥18,1 kN (GSN, γQ = 1,5 / γG,fav = 0,9)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Horizontalna sila po nosaču</w:t>
            </w:r>
          </w:p>
        </w:tc>
        <w:tc>
          <w:tcPr/>
          <w:p>
            <w:pPr>
              <w:pStyle w:val="Compact"/>
            </w:pPr>
            <w:r>
              <w:t xml:space="preserve">≥13,4 kN (GSN)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Moment prevrtanja po nosaču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≥42,6 kNm (GSN)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Spreg po temeljnoj traci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≥26,6 kN</w:t>
            </w:r>
            <w:r>
              <w:t xml:space="preserve"> </w:t>
            </w:r>
            <w:r>
              <w:t xml:space="preserve">pri razmaku traka 1600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Mjerodavno</w:t>
            </w:r>
          </w:p>
        </w:tc>
        <w:tc>
          <w:tcPr/>
          <w:p>
            <w:pPr>
              <w:pStyle w:val="Compact"/>
            </w:pPr>
            <w:r>
              <w:t xml:space="preserve">podizanje (uplift) i prevrtanje, a NE nosivost tla</w:t>
            </w:r>
          </w:p>
        </w:tc>
      </w:tr>
    </w:tbl>
    <w:bookmarkEnd w:id="13"/>
    <w:bookmarkStart w:id="14" w:name="materijal-i-izrada-konstrukcije"/>
    <w:p>
      <w:pPr>
        <w:pStyle w:val="Heading3"/>
      </w:pPr>
      <w:r>
        <w:t xml:space="preserve">3.3 Materijal i izrada konstrukcije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Konstrukcijski čelik</w:t>
            </w:r>
          </w:p>
        </w:tc>
        <w:tc>
          <w:tcPr/>
          <w:p>
            <w:pPr>
              <w:pStyle w:val="Compact"/>
            </w:pPr>
            <w:r>
              <w:t xml:space="preserve">S275JR (S355JR za stubove) prema EN 10025-2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Profili</w:t>
            </w:r>
          </w:p>
        </w:tc>
        <w:tc>
          <w:tcPr/>
          <w:p>
            <w:pPr>
              <w:pStyle w:val="Compact"/>
            </w:pPr>
            <w:r>
              <w:t xml:space="preserve">šuplji profili prema EN 10219; stubovi min. RHS 80 × 80 × 4, rigle min. RHS 60 × 40 × 3, ili presjek sa dokazano najmanje jednakim otpornim momentom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</w:pPr>
            <w:r>
              <w:t xml:space="preserve">vruće cinčanje prema EN ISO 1461, min. 70 µm lokalno / 85 µm srednje (C4)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Zavarivanje</w:t>
            </w:r>
          </w:p>
        </w:tc>
        <w:tc>
          <w:tcPr/>
          <w:p>
            <w:pPr>
              <w:pStyle w:val="Compact"/>
            </w:pPr>
            <w:r>
              <w:t xml:space="preserve">EN 1090-2, klasa izvedbe EXC2; zavarivači prema EN ISO 9606-1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Označavanje</w:t>
            </w:r>
          </w:p>
        </w:tc>
        <w:tc>
          <w:tcPr/>
          <w:p>
            <w:pPr>
              <w:pStyle w:val="Compact"/>
            </w:pPr>
            <w:r>
              <w:t xml:space="preserve">CE i izjava o svojstvima prema EN 1090-1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Konstrukcijski vijci</w:t>
            </w:r>
          </w:p>
        </w:tc>
        <w:tc>
          <w:tcPr/>
          <w:p>
            <w:pPr>
              <w:pStyle w:val="Compact"/>
            </w:pPr>
            <w:r>
              <w:t xml:space="preserve">M16 klase 8.8, cinčani, prema EN 15048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Pričvršćenje modula</w:t>
            </w:r>
          </w:p>
        </w:tc>
        <w:tc>
          <w:tcPr/>
          <w:p>
            <w:pPr>
              <w:pStyle w:val="Compact"/>
            </w:pPr>
            <w:r>
              <w:t xml:space="preserve">nehrđajući A2/A4; stezaljke za debljinu modula 30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od krađe</w:t>
            </w:r>
          </w:p>
        </w:tc>
        <w:tc>
          <w:tcPr/>
          <w:p>
            <w:pPr>
              <w:pStyle w:val="Compact"/>
            </w:pPr>
            <w:r>
              <w:t xml:space="preserve">antitheft matice na stezaljkama modula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Moment pritezanja</w:t>
            </w:r>
          </w:p>
        </w:tc>
        <w:tc>
          <w:tcPr/>
          <w:p>
            <w:pPr>
              <w:pStyle w:val="Compact"/>
            </w:pPr>
            <w:r>
              <w:t xml:space="preserve">prema uputstvu proizvođača (45 N·m za Huawei)</w:t>
            </w:r>
          </w:p>
        </w:tc>
      </w:tr>
    </w:tbl>
    <w:bookmarkEnd w:id="14"/>
    <w:bookmarkStart w:id="15" w:name="sidrenje"/>
    <w:p>
      <w:pPr>
        <w:pStyle w:val="Heading3"/>
      </w:pPr>
      <w:r>
        <w:t xml:space="preserve">3.4 Sidrenje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hemijski (epoksidni/vinilesterski) anker M16 ili M20, sa ETA odobrenjem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Materijal</w:t>
            </w:r>
          </w:p>
        </w:tc>
        <w:tc>
          <w:tcPr/>
          <w:p>
            <w:pPr>
              <w:pStyle w:val="Compact"/>
            </w:pPr>
            <w:r>
              <w:t xml:space="preserve">vruće cinčan ili nehrđajući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</w:t>
            </w:r>
          </w:p>
        </w:tc>
        <w:tc>
          <w:tcPr/>
          <w:p>
            <w:pPr>
              <w:pStyle w:val="Compact"/>
            </w:pPr>
            <w:r>
              <w:t xml:space="preserve">min. 2 ankera po temeljnoj traci, odnosno 4 po nosaču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Nosivost</w:t>
            </w:r>
          </w:p>
        </w:tc>
        <w:tc>
          <w:tcPr/>
          <w:p>
            <w:pPr>
              <w:pStyle w:val="Compact"/>
            </w:pPr>
            <w:r>
              <w:t xml:space="preserve">karakteristična sila čupanja ≥30 kN po ankeru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Dubina ugradnje</w:t>
            </w:r>
          </w:p>
        </w:tc>
        <w:tc>
          <w:tcPr/>
          <w:p>
            <w:pPr>
              <w:pStyle w:val="Compact"/>
            </w:pPr>
            <w:r>
              <w:t xml:space="preserve">prema ETA za konkretnu podlogu (beton / stijena)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Projektna sila</w:t>
            </w:r>
          </w:p>
        </w:tc>
        <w:tc>
          <w:tcPr/>
          <w:p>
            <w:pPr>
              <w:pStyle w:val="Compact"/>
            </w:pPr>
            <w:r>
              <w:t xml:space="preserve">ukupno podizanje po nosaču ≥18,1 kN;</w:t>
            </w:r>
            <w:r>
              <w:t xml:space="preserve"> </w:t>
            </w:r>
            <w:r>
              <w:rPr>
                <w:b/>
                <w:bCs/>
              </w:rPr>
              <w:t xml:space="preserve">sila po traci od momenta prevrtanja ≥26,6 kN</w:t>
            </w:r>
            <w:r>
              <w:t xml:space="preserve"> </w:t>
            </w:r>
            <w:r>
              <w:t xml:space="preserve">pri razmaku traka 1600 mm — ovo je mjerodavno opterećenje sidrenja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Dokazivanje</w:t>
            </w:r>
          </w:p>
        </w:tc>
        <w:tc>
          <w:tcPr/>
          <w:p>
            <w:pPr>
              <w:pStyle w:val="Compact"/>
            </w:pPr>
            <w:r>
              <w:t xml:space="preserve">ispitivanje čupanjem (pull-out) na ≥10 % ugrađenih ankera, min. 2 po nosaču, do 1,5 × projektne sile, uz zapisnik ovjeren od nadzornog organa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Alternativa</w:t>
            </w:r>
          </w:p>
        </w:tc>
        <w:tc>
          <w:tcPr/>
          <w:p>
            <w:pPr>
              <w:pStyle w:val="Compact"/>
            </w:pPr>
            <w:r>
              <w:t xml:space="preserve">livena U-sidra M16/320 dozvoljena SAMO uz gravitacioni temelj ≥0,75 m³ po nosaču — moment prevrtanja i dalje zahtijeva provjeru</w:t>
            </w:r>
          </w:p>
        </w:tc>
      </w:tr>
    </w:tbl>
    <w:bookmarkEnd w:id="15"/>
    <w:bookmarkStart w:id="16" w:name="temelji-nosača"/>
    <w:p>
      <w:pPr>
        <w:pStyle w:val="Heading3"/>
      </w:pPr>
      <w:r>
        <w:t xml:space="preserve">3.5 Temelji nosača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Beton</w:t>
            </w:r>
          </w:p>
        </w:tc>
        <w:tc>
          <w:tcPr/>
          <w:p>
            <w:pPr>
              <w:pStyle w:val="Compact"/>
            </w:pPr>
            <w:r>
              <w:t xml:space="preserve">C30/37, klasa izloženosti XC4 + XF3, aerant 4–6 %, Dmax 16, 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Podložni beton</w:t>
            </w:r>
          </w:p>
        </w:tc>
        <w:tc>
          <w:tcPr/>
          <w:p>
            <w:pPr>
              <w:pStyle w:val="Compact"/>
            </w:pPr>
            <w:r>
              <w:t xml:space="preserve">C12/15, d = 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Armatura</w:t>
            </w:r>
          </w:p>
        </w:tc>
        <w:tc>
          <w:tcPr/>
          <w:p>
            <w:pPr>
              <w:pStyle w:val="Compact"/>
            </w:pPr>
            <w:r>
              <w:t xml:space="preserve">B500B, zaštitni sloj ≥50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Geometrija</w:t>
            </w:r>
          </w:p>
        </w:tc>
        <w:tc>
          <w:tcPr/>
          <w:p>
            <w:pPr>
              <w:pStyle w:val="Compact"/>
            </w:pPr>
            <w:r>
              <w:t xml:space="preserve">2 trake po nosaču (×3 nosača =</w:t>
            </w:r>
            <w:r>
              <w:t xml:space="preserve"> </w:t>
            </w:r>
            <w:r>
              <w:rPr>
                <w:b/>
                <w:bCs/>
              </w:rPr>
              <w:t xml:space="preserve">6 traka ukupno</w:t>
            </w:r>
            <w:r>
              <w:t xml:space="preserve">), 450 mm (gore) / 550 mm (dolje) × 3300 mm,</w:t>
            </w:r>
            <w:r>
              <w:t xml:space="preserve"> </w:t>
            </w:r>
            <w:r>
              <w:rPr>
                <w:b/>
                <w:bCs/>
              </w:rPr>
              <w:t xml:space="preserve">pune dubine 900 mm</w:t>
            </w:r>
            <w:r>
              <w:t xml:space="preserve">, razmak 1600 mm, pravac SJEVER–JUG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Zapremina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1,485 m³ po traci → 8,91 m³ ukupno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Smještaj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IZVAN ograđenog platoa</w:t>
            </w:r>
            <w:r>
              <w:t xml:space="preserve">, južno od ograde. Odmak od ograde Ponuđač utvrđuje pri poziciranju nosača tako da ravan panela nigdje ne dodiruje ogradu, a konstrukcija u cijelosti ostane unutar zakupljene parcele 16,00 × 9,40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Dubina smrzavanja</w:t>
            </w:r>
          </w:p>
        </w:tc>
        <w:tc>
          <w:tcPr/>
          <w:p>
            <w:pPr>
              <w:pStyle w:val="Compact"/>
            </w:pPr>
            <w:r>
              <w:t xml:space="preserve">temeljna spojnica ispod dubine smrzavanja; Ponuđač navodi vrijednost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Traka se betonira punom dubinom rova.</w:t>
      </w:r>
      <w:r>
        <w:t xml:space="preserve"> </w:t>
      </w:r>
      <w:r>
        <w:t xml:space="preserve">Vlastita težina trake je dio dokaza</w:t>
      </w:r>
      <w:r>
        <w:t xml:space="preserve"> </w:t>
      </w:r>
      <w:r>
        <w:t xml:space="preserve">sigurnosti na podizanje:</w:t>
      </w:r>
      <w:r>
        <w:t xml:space="preserve"> </w:t>
      </w:r>
      <w:r>
        <w:rPr>
          <w:rStyle w:val="VerbatimChar"/>
        </w:rPr>
        <w:t xml:space="preserve">1,485 m³ × 24 kN/m³ × 0,9 = 32,1 kN</w:t>
      </w:r>
      <w:r>
        <w:t xml:space="preserve"> </w:t>
      </w:r>
      <w:r>
        <w:t xml:space="preserve">prema traženih 29,6 kN</w:t>
      </w:r>
      <w:r>
        <w:t xml:space="preserve"> </w:t>
      </w:r>
      <w:r>
        <w:t xml:space="preserve">po traci. Traka manje zapremine tu provjeru ne zatvara vlastitom težinom.</w:t>
      </w:r>
    </w:p>
    <w:bookmarkEnd w:id="16"/>
    <w:bookmarkStart w:id="17" w:name="uzemljenje-lot-1"/>
    <w:p>
      <w:pPr>
        <w:pStyle w:val="Heading3"/>
      </w:pPr>
      <w:r>
        <w:t xml:space="preserve">3.6 Uzemljenje (LOT 1)</w:t>
      </w:r>
    </w:p>
    <w:p>
      <w:pPr>
        <w:pStyle w:val="Compact"/>
        <w:numPr>
          <w:ilvl w:val="0"/>
          <w:numId w:val="1001"/>
        </w:numPr>
      </w:pPr>
      <w:r>
        <w:t xml:space="preserve">povezivanje</w:t>
      </w:r>
      <w:r>
        <w:t xml:space="preserve"> </w:t>
      </w:r>
      <w:r>
        <w:rPr>
          <w:b/>
          <w:bCs/>
        </w:rPr>
        <w:t xml:space="preserve">sva tri nosača</w:t>
      </w:r>
      <w:r>
        <w:t xml:space="preserve"> </w:t>
      </w:r>
      <w:r>
        <w:t xml:space="preserve">na postojeći prstenasti uzemljivač Fe/Zn 25 × 4 mm</w:t>
      </w:r>
    </w:p>
    <w:p>
      <w:pPr>
        <w:pStyle w:val="Compact"/>
        <w:numPr>
          <w:ilvl w:val="0"/>
          <w:numId w:val="1001"/>
        </w:numPr>
      </w:pPr>
      <w:r>
        <w:t xml:space="preserve">vodič: bakarno uže ≥50 mm² prema EN 62305-3, Tabela 7, otporno na UV i ukopavanje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NIJE dozvoljen</w:t>
      </w:r>
      <w:r>
        <w:t xml:space="preserve"> </w:t>
      </w:r>
      <w:r>
        <w:t xml:space="preserve">H07V-K 25 mm² (unutrašnji instalacioni vodič)</w:t>
      </w:r>
    </w:p>
    <w:p>
      <w:pPr>
        <w:pStyle w:val="Compact"/>
        <w:numPr>
          <w:ilvl w:val="0"/>
          <w:numId w:val="1001"/>
        </w:numPr>
      </w:pPr>
      <w:r>
        <w:t xml:space="preserve">bimetalni (Cu/Fe-Zn) ukrsni komadi otporni na galvansku koroziju</w:t>
      </w:r>
    </w:p>
    <w:p>
      <w:pPr>
        <w:pStyle w:val="Compact"/>
        <w:numPr>
          <w:ilvl w:val="0"/>
          <w:numId w:val="1001"/>
        </w:numPr>
      </w:pPr>
      <w:r>
        <w:t xml:space="preserve">kontinuitet spojeva ≤0,1 Ω; ukupni otpor uzemljenja ≤10 Ω</w:t>
      </w:r>
    </w:p>
    <w:p>
      <w:pPr>
        <w:pStyle w:val="Compact"/>
        <w:numPr>
          <w:ilvl w:val="0"/>
          <w:numId w:val="1001"/>
        </w:numPr>
      </w:pPr>
      <w:r>
        <w:t xml:space="preserve">DC kablovi na razmaku ≥0,5 m od odvoda gromobranske instalacije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41" w:name="X239bcf8ffa5a46b3b2640c5c1f1f63bbc63e3a7"/>
    <w:p>
      <w:pPr>
        <w:pStyle w:val="Heading2"/>
      </w:pPr>
      <w:r>
        <w:t xml:space="preserve">4. LOT 2 — Dizel električni agregat i instalacije</w:t>
      </w:r>
    </w:p>
    <w:bookmarkStart w:id="25" w:name="agregat"/>
    <w:p>
      <w:pPr>
        <w:pStyle w:val="Heading3"/>
      </w:pPr>
      <w:r>
        <w:t xml:space="preserve">4.1 Agregat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 / referentna 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Snaga</w:t>
            </w:r>
          </w:p>
        </w:tc>
        <w:tc>
          <w:tcPr/>
          <w:p>
            <w:pPr>
              <w:pStyle w:val="Compact"/>
            </w:pPr>
            <w:r>
              <w:t xml:space="preserve">18 kVA / 14,4 kW standby, 400/230 V, 50 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Referentni tip</w:t>
            </w:r>
          </w:p>
        </w:tc>
        <w:tc>
          <w:tcPr/>
          <w:p>
            <w:pPr>
              <w:pStyle w:val="Compact"/>
            </w:pPr>
            <w:r>
              <w:t xml:space="preserve">FG Wilson P18-6 ili ekvivalent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Perkins 404D-22G1 ili ekvivalent, 4-cilindarski, 2,2 l, 1500 o/min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Izvedba</w:t>
            </w:r>
          </w:p>
        </w:tc>
        <w:tc>
          <w:tcPr/>
          <w:p>
            <w:pPr>
              <w:pStyle w:val="Compact"/>
            </w:pPr>
            <w:r>
              <w:t xml:space="preserve">za montažu u prostor (skid, bez vlastitog kućišta)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Dimenzije</w:t>
            </w:r>
          </w:p>
        </w:tc>
        <w:tc>
          <w:tcPr/>
          <w:p>
            <w:pPr>
              <w:pStyle w:val="Compact"/>
            </w:pPr>
            <w:r>
              <w:t xml:space="preserve">1550 × 620 × 1020 mm (referentno ±5 %)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Masa</w:t>
            </w:r>
          </w:p>
        </w:tc>
        <w:tc>
          <w:tcPr/>
          <w:p>
            <w:pPr>
              <w:pStyle w:val="Compact"/>
            </w:pPr>
            <w:r>
              <w:t xml:space="preserve">365 kg suho / 372 kg mokro (referentno)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Derating</w:t>
            </w:r>
          </w:p>
        </w:tc>
        <w:tc>
          <w:tcPr/>
          <w:p>
            <w:pPr>
              <w:pStyle w:val="Compact"/>
            </w:pPr>
            <w:r>
              <w:t xml:space="preserve">na 1076 m n.v. i temperaturu okoline do +40 °C (ISO 3046-1); Ponuđač dostavlja derating proizvođača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Uzbuda (OBAVEZNO)</w:t>
            </w:r>
          </w:p>
        </w:tc>
        <w:tc>
          <w:tcPr/>
          <w:p>
            <w:pPr>
              <w:pStyle w:val="Compact"/>
            </w:pPr>
            <w:r>
              <w:t xml:space="preserve">nezavisna pobuda —</w:t>
            </w:r>
            <w:r>
              <w:t xml:space="preserve"> </w:t>
            </w:r>
            <w:r>
              <w:rPr>
                <w:b/>
                <w:bCs/>
              </w:rPr>
              <w:t xml:space="preserve">PMG ili AREP/AUX</w:t>
            </w:r>
            <w:r>
              <w:t xml:space="preserve"> </w:t>
            </w:r>
            <w:r>
              <w:t xml:space="preserve">namotaj; trajna struja kratkog spoja</w:t>
            </w:r>
            <w:r>
              <w:t xml:space="preserve"> </w:t>
            </w:r>
            <w:r>
              <w:rPr>
                <w:b/>
                <w:bCs/>
              </w:rPr>
              <w:t xml:space="preserve">≥3 × In (≈78 A)</w:t>
            </w:r>
            <w:r>
              <w:t xml:space="preserve"> </w:t>
            </w:r>
            <w:r>
              <w:t xml:space="preserve">u trajanju ≥10 s prema ISO 8528-3. Standardna SHUNT pobuda</w:t>
            </w:r>
            <w:r>
              <w:t xml:space="preserve"> </w:t>
            </w:r>
            <w:r>
              <w:rPr>
                <w:b/>
                <w:bCs/>
              </w:rPr>
              <w:t xml:space="preserve">NIJE prihvatljiva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Antivibracioni elementi</w:t>
            </w:r>
          </w:p>
        </w:tc>
        <w:tc>
          <w:tcPr/>
          <w:p>
            <w:pPr>
              <w:pStyle w:val="Compact"/>
            </w:pPr>
            <w:r>
              <w:t xml:space="preserve">gumeno-metalni oslonci, vlastita frekvencija ≤8 Hz, statički progib ≥5 mm, između skida i roštilja iz Tačke 4.2;</w:t>
            </w:r>
            <w:r>
              <w:t xml:space="preserve"> </w:t>
            </w:r>
            <w:r>
              <w:rPr>
                <w:b/>
                <w:bCs/>
              </w:rPr>
              <w:t xml:space="preserve">svi priključci na motor elastični</w:t>
            </w:r>
            <w:r>
              <w:t xml:space="preserve"> </w:t>
            </w:r>
            <w:r>
              <w:t xml:space="preserve">— izduv, hladnjak i</w:t>
            </w:r>
            <w:r>
              <w:t xml:space="preserve"> </w:t>
            </w:r>
            <w:r>
              <w:rPr>
                <w:b/>
                <w:bCs/>
              </w:rPr>
              <w:t xml:space="preserve">oba voda goriva</w:t>
            </w:r>
          </w:p>
        </w:tc>
      </w:tr>
    </w:tbl>
    <w:p>
      <w:pPr>
        <w:pStyle w:val="CaptionedFigure"/>
      </w:pPr>
      <w:r>
        <w:drawing>
          <wp:inline>
            <wp:extent cx="3665220" cy="3023806"/>
            <wp:effectExtent b="0" l="0" r="0" t="0"/>
            <wp:docPr descr="Slika 1 — FG Wilson P18-6 (Skid), bočni pogled (ilustrativno)" title="" id="20" name="Picture"/>
            <a:graphic>
              <a:graphicData uri="http://schemas.openxmlformats.org/drawingml/2006/picture">
                <pic:pic>
                  <pic:nvPicPr>
                    <pic:cNvPr descr="../TD-OUTPUT/grafika/prilog1/agregat-bocni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3023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 — FG Wilson P18-6 (Skid), bočni pogled (ilustrativno)</w:t>
      </w:r>
    </w:p>
    <w:p>
      <w:pPr>
        <w:pStyle w:val="CaptionedFigure"/>
      </w:pPr>
      <w:r>
        <w:drawing>
          <wp:inline>
            <wp:extent cx="2565654" cy="3754615"/>
            <wp:effectExtent b="0" l="0" r="0" t="0"/>
            <wp:docPr descr="Slika 2 — FG Wilson P18-6 (Skid), čeoni pogled (generator) (ilustrativno)" title="" id="23" name="Picture"/>
            <a:graphic>
              <a:graphicData uri="http://schemas.openxmlformats.org/drawingml/2006/picture">
                <pic:pic>
                  <pic:nvPicPr>
                    <pic:cNvPr descr="../TD-OUTPUT/grafika/prilog1/agregat-celni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654" cy="3754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 — FG Wilson P18-6 (Skid), čeoni pogled (generator) (ilustrativno)</w:t>
      </w:r>
    </w:p>
    <w:bookmarkEnd w:id="25"/>
    <w:bookmarkStart w:id="32" w:name="spremnik-goriva-i-oslanjanje-opreme"/>
    <w:p>
      <w:pPr>
        <w:pStyle w:val="Heading3"/>
      </w:pPr>
      <w:r>
        <w:t xml:space="preserve">4.2 Spremnik goriva i oslanjanje opreme</w:t>
      </w:r>
    </w:p>
    <w:p>
      <w:pPr>
        <w:pStyle w:val="Compact"/>
        <w:numPr>
          <w:ilvl w:val="0"/>
          <w:numId w:val="1002"/>
        </w:numPr>
      </w:pPr>
      <w:r>
        <w:t xml:space="preserve">metalni,</w:t>
      </w:r>
      <w:r>
        <w:t xml:space="preserve"> </w:t>
      </w:r>
      <w:r>
        <w:rPr>
          <w:b/>
          <w:bCs/>
        </w:rPr>
        <w:t xml:space="preserve">dvoplašni</w:t>
      </w:r>
      <w:r>
        <w:t xml:space="preserve">, zapremine</w:t>
      </w:r>
      <w:r>
        <w:t xml:space="preserve"> </w:t>
      </w:r>
      <w:r>
        <w:rPr>
          <w:b/>
          <w:bCs/>
        </w:rPr>
        <w:t xml:space="preserve">500 l</w:t>
      </w:r>
      <w:r>
        <w:t xml:space="preserve">, sa nivo sondom i detekcijom curenja</w:t>
      </w:r>
      <w:r>
        <w:t xml:space="preserve"> </w:t>
      </w:r>
      <w:r>
        <w:t xml:space="preserve">goriva u međuplaštu</w:t>
      </w:r>
    </w:p>
    <w:p>
      <w:pPr>
        <w:pStyle w:val="Compact"/>
        <w:numPr>
          <w:ilvl w:val="0"/>
          <w:numId w:val="1002"/>
        </w:numPr>
      </w:pPr>
      <w:r>
        <w:t xml:space="preserve">referentne dimenzije 1050 × 600 × 1310 mm, masa cca 170 kg — pun ≈590 kg na</w:t>
      </w:r>
      <w:r>
        <w:t xml:space="preserve"> </w:t>
      </w:r>
      <w:r>
        <w:t xml:space="preserve">0,63 m² = 9,2 kN/m²; unutar projektnih 10,00 kN/m²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OBAVEZAN čelični ram/roštilj za raznošenje opterećenja</w:t>
      </w:r>
      <w:r>
        <w:t xml:space="preserve"> </w:t>
      </w:r>
      <w:r>
        <w:t xml:space="preserve">pod DEA i pod koritom sa</w:t>
      </w:r>
      <w:r>
        <w:t xml:space="preserve"> </w:t>
      </w:r>
      <w:r>
        <w:t xml:space="preserve">spremnikom, sa prenosom na primarne nosače podne konstrukcije. Opterećenja su</w:t>
      </w:r>
      <w:r>
        <w:t xml:space="preserve"> </w:t>
      </w:r>
      <w:r>
        <w:t xml:space="preserve">koncentrisana na mali broj sekundarnih nosača (HOP 100 × 50 × 3 na 0,51 m), dok se</w:t>
      </w:r>
      <w:r>
        <w:t xml:space="preserve"> </w:t>
      </w:r>
      <w:r>
        <w:t xml:space="preserve">10,00 kN/m² odnosi na ravnomjerno raspodijeljeno opterećenje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sekundarnu zaštitu čini međuplašt</w:t>
      </w:r>
      <w:r>
        <w:t xml:space="preserve"> </w:t>
      </w:r>
      <w:r>
        <w:t xml:space="preserve">dvoplašnog spremnika sa sondom za detekciju</w:t>
      </w:r>
      <w:r>
        <w:t xml:space="preserve"> </w:t>
      </w:r>
      <w:r>
        <w:t xml:space="preserve">curenja, pa tankvana zapremine ≥110 %</w:t>
      </w:r>
      <w:r>
        <w:t xml:space="preserve"> </w:t>
      </w:r>
      <w:r>
        <w:rPr>
          <w:b/>
          <w:bCs/>
        </w:rPr>
        <w:t xml:space="preserve">NIJE zahtijevana</w:t>
      </w:r>
      <w:r>
        <w:t xml:space="preserve">. Ispod spremnika se</w:t>
      </w:r>
      <w:r>
        <w:t xml:space="preserve"> </w:t>
      </w:r>
      <w:r>
        <w:t xml:space="preserve">izvodi</w:t>
      </w:r>
      <w:r>
        <w:t xml:space="preserve"> </w:t>
      </w:r>
      <w:r>
        <w:rPr>
          <w:b/>
          <w:bCs/>
        </w:rPr>
        <w:t xml:space="preserve">prihvatno korito (kada) 1150 × 640 mm, visina ruba 200 mm</w:t>
      </w:r>
      <w:r>
        <w:t xml:space="preserve">, za prihvat</w:t>
      </w:r>
      <w:r>
        <w:t xml:space="preserve"> </w:t>
      </w:r>
      <w:r>
        <w:t xml:space="preserve">kapanja i prosipanja, sa vidljivim najnižim mjestom za kontrolu i pražnjenje</w:t>
      </w:r>
    </w:p>
    <w:p>
      <w:pPr>
        <w:pStyle w:val="Compact"/>
        <w:numPr>
          <w:ilvl w:val="0"/>
          <w:numId w:val="1002"/>
        </w:numPr>
      </w:pPr>
      <w:r>
        <w:t xml:space="preserve">vanjski priključak za tankanje sa zaštitom od statičkog elektriciteta i</w:t>
      </w:r>
      <w:r>
        <w:t xml:space="preserve"> </w:t>
      </w:r>
      <w:r>
        <w:t xml:space="preserve">sprječavanjem prelijevanja</w:t>
      </w:r>
    </w:p>
    <w:p>
      <w:pPr>
        <w:pStyle w:val="Compact"/>
        <w:numPr>
          <w:ilvl w:val="0"/>
          <w:numId w:val="1002"/>
        </w:numPr>
      </w:pPr>
      <w:r>
        <w:t xml:space="preserve">odušna cijev izvan kontejnera, sa plamenobranom, udaljena ≥3 m od izduva i usisa</w:t>
      </w:r>
      <w:r>
        <w:t xml:space="preserve"> </w:t>
      </w:r>
      <w:r>
        <w:t xml:space="preserve">zraka</w:t>
      </w:r>
    </w:p>
    <w:p>
      <w:pPr>
        <w:pStyle w:val="Compact"/>
        <w:numPr>
          <w:ilvl w:val="0"/>
          <w:numId w:val="1002"/>
        </w:numPr>
      </w:pPr>
      <w:r>
        <w:t xml:space="preserve">protupožarni ventil na izlazu iz spremnika (topljivi osigurač ili solenoid),</w:t>
      </w:r>
      <w:r>
        <w:t xml:space="preserve"> </w:t>
      </w:r>
      <w:r>
        <w:t xml:space="preserve">aktiviran požarom i E-STOP-om</w:t>
      </w:r>
    </w:p>
    <w:p>
      <w:pPr>
        <w:pStyle w:val="Compact"/>
        <w:numPr>
          <w:ilvl w:val="0"/>
          <w:numId w:val="1002"/>
        </w:numPr>
      </w:pPr>
      <w:r>
        <w:t xml:space="preserve">napajanje motora gorivom Cu cijevima NO 8 mm (polazni i povratni vod), sa</w:t>
      </w:r>
      <w:r>
        <w:t xml:space="preserve"> </w:t>
      </w:r>
      <w:r>
        <w:rPr>
          <w:b/>
          <w:bCs/>
        </w:rPr>
        <w:t xml:space="preserve">fleksibilnim umetkom na oba voda neposredno uz motor</w:t>
      </w:r>
    </w:p>
    <w:p>
      <w:pPr>
        <w:pStyle w:val="Compact"/>
        <w:numPr>
          <w:ilvl w:val="0"/>
          <w:numId w:val="1002"/>
        </w:numPr>
      </w:pPr>
      <w:r>
        <w:t xml:space="preserve">sifon protiv povratnog toka</w:t>
      </w:r>
    </w:p>
    <w:p>
      <w:pPr>
        <w:pStyle w:val="CaptionedFigure"/>
      </w:pPr>
      <w:r>
        <w:drawing>
          <wp:inline>
            <wp:extent cx="3359785" cy="3355157"/>
            <wp:effectExtent b="0" l="0" r="0" t="0"/>
            <wp:docPr descr="Slika 3 — Spremnik goriva 500 l, bočni izgled (ilustrativno)" title="" id="27" name="Picture"/>
            <a:graphic>
              <a:graphicData uri="http://schemas.openxmlformats.org/drawingml/2006/picture">
                <pic:pic>
                  <pic:nvPicPr>
                    <pic:cNvPr descr="../TD-OUTPUT/grafika/prilog1/spremnik-bocni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785" cy="3355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 — Spremnik goriva 500 l, bočni izgled (ilustrativno)</w:t>
      </w:r>
    </w:p>
    <w:p>
      <w:pPr>
        <w:pStyle w:val="CaptionedFigure"/>
      </w:pPr>
      <w:r>
        <w:drawing>
          <wp:inline>
            <wp:extent cx="3787394" cy="2482742"/>
            <wp:effectExtent b="0" l="0" r="0" t="0"/>
            <wp:docPr descr="Slika 4 — Spremnik goriva 500 l, pogled od vrha (ilustrativno)" title="" id="30" name="Picture"/>
            <a:graphic>
              <a:graphicData uri="http://schemas.openxmlformats.org/drawingml/2006/picture">
                <pic:pic>
                  <pic:nvPicPr>
                    <pic:cNvPr descr="../TD-OUTPUT/grafika/prilog1/spremnik-odozgo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7394" cy="2482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 — Spremnik goriva 500 l, pogled od vrha (ilustrativno)</w:t>
      </w:r>
    </w:p>
    <w:bookmarkEnd w:id="32"/>
    <w:bookmarkStart w:id="36" w:name="ventilacija-i-hlađenje"/>
    <w:p>
      <w:pPr>
        <w:pStyle w:val="Heading3"/>
      </w:pPr>
      <w:r>
        <w:t xml:space="preserve">4.3 Ventilacija i hlađenje</w:t>
      </w:r>
    </w:p>
    <w:p>
      <w:pPr>
        <w:pStyle w:val="FirstParagraph"/>
      </w:pPr>
      <w:r>
        <w:t xml:space="preserve">Dimenzionisano prema tehničkom listu proizvođača. Mjerodavno ograničenje je</w:t>
      </w:r>
      <w:r>
        <w:t xml:space="preserve"> </w:t>
      </w:r>
      <w:r>
        <w:rPr>
          <w:b/>
          <w:bCs/>
        </w:rPr>
        <w:t xml:space="preserve">maksimalni vanjski otpor strujanju zraka od 125 Pa</w:t>
      </w:r>
      <w:r>
        <w:t xml:space="preserve"> </w:t>
      </w:r>
      <w:r>
        <w:t xml:space="preserve">za cjelokupnu putanju.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Zrak hladnjaka</w:t>
            </w:r>
          </w:p>
        </w:tc>
        <w:tc>
          <w:tcPr/>
          <w:p>
            <w:pPr>
              <w:pStyle w:val="Compact"/>
            </w:pPr>
            <w:r>
              <w:t xml:space="preserve">1980 m³/h (33 m³/min) — ostvaruje vlastiti ventilator hladnjaka; korigovano na gustinu lokacije 2151 m³/h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Zrak za sagorijevanje</w:t>
            </w:r>
          </w:p>
        </w:tc>
        <w:tc>
          <w:tcPr/>
          <w:p>
            <w:pPr>
              <w:pStyle w:val="Compact"/>
            </w:pPr>
            <w:r>
              <w:t xml:space="preserve">90 m³/h; max. otpor usisa 3 kPa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Maks. vanjski otpor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125 Pa</w:t>
            </w:r>
            <w:r>
              <w:t xml:space="preserve"> </w:t>
            </w:r>
            <w:r>
              <w:t xml:space="preserve">(ukupno: usis + kanal + izlaz)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Toplota u prostor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5,8 kW</w:t>
            </w:r>
            <w:r>
              <w:t xml:space="preserve"> </w:t>
            </w:r>
            <w:r>
              <w:t xml:space="preserve">(uz 15,2 kW odvedenih rashladnom tečnošću i uljem)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</w:t>
            </w:r>
          </w:p>
        </w:tc>
        <w:tc>
          <w:tcPr/>
          <w:p>
            <w:pPr>
              <w:pStyle w:val="Compact"/>
            </w:pPr>
            <w:r>
              <w:t xml:space="preserve">500 × 700 mm (v ≈ 3,56 m/s, Δp ≈ 17 Pa)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Kanal hladnjaka</w:t>
            </w:r>
          </w:p>
        </w:tc>
        <w:tc>
          <w:tcPr/>
          <w:p>
            <w:pPr>
              <w:pStyle w:val="Compact"/>
            </w:pPr>
            <w:r>
              <w:t xml:space="preserve">prelazni komad od prirubnice hladnjaka do izlazne žaluzine,</w:t>
            </w:r>
            <w:r>
              <w:t xml:space="preserve"> </w:t>
            </w:r>
            <w:r>
              <w:rPr>
                <w:b/>
                <w:bCs/>
              </w:rPr>
              <w:t xml:space="preserve">razvijena površina ≈1,0 m²</w:t>
            </w:r>
            <w:r>
              <w:t xml:space="preserve">, od pocinčanog lima d = 1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Izlazna žaluzina</w:t>
            </w:r>
          </w:p>
        </w:tc>
        <w:tc>
          <w:tcPr/>
          <w:p>
            <w:pPr>
              <w:pStyle w:val="Compact"/>
            </w:pPr>
            <w:r>
              <w:t xml:space="preserve">600 × 600 mm (v ≈ 3,46 m/s, Δp ≈ 16 Pa)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</w:pPr>
            <w:r>
              <w:t xml:space="preserve">1200 m³/h, Ø315,</w:t>
            </w:r>
            <w:r>
              <w:t xml:space="preserve"> </w:t>
            </w:r>
            <w:r>
              <w:rPr>
                <w:b/>
                <w:bCs/>
              </w:rPr>
              <w:t xml:space="preserve">48 V DC (EC)</w:t>
            </w:r>
            <w:r>
              <w:t xml:space="preserve">, napajan sa DC razvoda −48 V (Tačka 4.5); vođen termostatom dok agregat ne radi (i za hlađenje nakon zaustavljanja); kontroler DEA ga isključuje dok agregat radi, jer tada prostor ventilira struja zraka hladnjaka; blokiran sa aktiviranjem gašenja požara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Provjera</w:t>
            </w:r>
          </w:p>
        </w:tc>
        <w:tc>
          <w:tcPr/>
          <w:p>
            <w:pPr>
              <w:pStyle w:val="Compact"/>
            </w:pPr>
            <w:r>
              <w:t xml:space="preserve">Izvođač dostavlja proračun pada pritiska ukupne putanje</w:t>
            </w:r>
          </w:p>
        </w:tc>
      </w:tr>
    </w:tbl>
    <w:p>
      <w:pPr>
        <w:pStyle w:val="BodyText"/>
      </w:pPr>
      <w:r>
        <w:rPr>
          <w:b/>
          <w:bCs/>
        </w:rPr>
        <w:t xml:space="preserve">Raspored otvora</w:t>
      </w:r>
      <w:r>
        <w:t xml:space="preserve"> </w:t>
      </w:r>
      <w:r>
        <w:t xml:space="preserve">(prema crtežu M-01, Prilog III):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Zid i položaj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 500 × 700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SJEVERNI zid, istočni kraj</w:t>
            </w:r>
            <w:r>
              <w:t xml:space="preserve">; donja ivica +0,30 m od poda. Sjeverna strana je zasjenjena i daje najhladniji usisni zrak; žaluzina se postavlja istočno od vanjskih ormara ICC360-HA1-C1/MTS9302A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Kanal hladnjaka + izlazna žaluzina 600 × 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ZAPADNI zid</w:t>
            </w:r>
            <w:r>
              <w:t xml:space="preserve">, na osi hladnjaka agregata; kanal najkraćim putem od hladnjaka kroz zid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Izduv</w:t>
            </w:r>
          </w:p>
        </w:tc>
        <w:tc>
          <w:tcPr/>
          <w:p>
            <w:pPr>
              <w:pStyle w:val="Compact"/>
            </w:pPr>
            <w:r>
              <w:t xml:space="preserve">uz</w:t>
            </w:r>
            <w:r>
              <w:t xml:space="preserve"> </w:t>
            </w:r>
            <w:r>
              <w:rPr>
                <w:b/>
                <w:bCs/>
              </w:rPr>
              <w:t xml:space="preserve">ZAPADNI zid</w:t>
            </w:r>
            <w:r>
              <w:t xml:space="preserve">, završetak iznad krova (Tačka 4.4)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Odušna cijev spremnika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JUŽNI zid</w:t>
            </w:r>
            <w:r>
              <w:t xml:space="preserve">, istočni kraj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 Ø315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ISTOČNI zid</w:t>
            </w:r>
            <w:r>
              <w:t xml:space="preserve">, gore (donja ivica ≈+1,75 m), sjeverno od ulaznih vrata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Minimalna razdaljina</w:t>
            </w:r>
          </w:p>
        </w:tc>
        <w:tc>
          <w:tcPr/>
          <w:p>
            <w:pPr>
              <w:pStyle w:val="Compact"/>
            </w:pPr>
            <w:r>
              <w:t xml:space="preserve">≥3 m prostorno između usisa zraka, izduva i odušne cijevi</w:t>
            </w:r>
          </w:p>
        </w:tc>
      </w:tr>
    </w:tbl>
    <w:p>
      <w:pPr>
        <w:pStyle w:val="CaptionedFigure"/>
      </w:pPr>
      <w:r>
        <w:drawing>
          <wp:inline>
            <wp:extent cx="6108700" cy="4318218"/>
            <wp:effectExtent b="0" l="0" r="0" t="0"/>
            <wp:docPr descr="Slika 5 — Raspored opreme i otvora u kontejneru, crtež M-01 (Prilog III)" title="" id="34" name="Picture"/>
            <a:graphic>
              <a:graphicData uri="http://schemas.openxmlformats.org/drawingml/2006/picture">
                <pic:pic>
                  <pic:nvPicPr>
                    <pic:cNvPr descr="../TD-OUTPUT/grafika/prilog1/m01-raspored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318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 — Raspored opreme i otvora u kontejneru, crtež M-01 (Prilog III)</w:t>
      </w:r>
    </w:p>
    <w:p>
      <w:pPr>
        <w:pStyle w:val="BodyText"/>
      </w:pPr>
      <w:r>
        <w:t xml:space="preserve">Otvori se izvode kroz</w:t>
      </w:r>
      <w:r>
        <w:t xml:space="preserve"> </w:t>
      </w:r>
      <w:r>
        <w:rPr>
          <w:b/>
          <w:bCs/>
        </w:rPr>
        <w:t xml:space="preserve">ZIDNE PANELE</w:t>
      </w:r>
      <w:r>
        <w:t xml:space="preserve"> </w:t>
      </w:r>
      <w:r>
        <w:t xml:space="preserve">kontejnera. Raspored je ukrsni</w:t>
      </w:r>
      <w:r>
        <w:t xml:space="preserve"> </w:t>
      </w:r>
      <w:r>
        <w:t xml:space="preserve">(</w:t>
      </w:r>
      <w:r>
        <w:rPr>
          <w:b/>
          <w:bCs/>
        </w:rPr>
        <w:t xml:space="preserve">usis SJEVER → agregat → izlaz ZAPAD</w:t>
      </w:r>
      <w:r>
        <w:t xml:space="preserve">). Nije dozvoljeno izvesti usis, izlaz i</w:t>
      </w:r>
      <w:r>
        <w:t xml:space="preserve"> </w:t>
      </w:r>
      <w:r>
        <w:t xml:space="preserve">izduv na istom zidu, niti usmjeriti topli zrak ili izduv prema SJEVERNOJ strani, gdje</w:t>
      </w:r>
      <w:r>
        <w:t xml:space="preserve"> </w:t>
      </w:r>
      <w:r>
        <w:t xml:space="preserve">su vanjski ormari i usis svježeg zraka. Nije dozvoljeno izvesti dovod zraka kroz</w:t>
      </w:r>
      <w:r>
        <w:t xml:space="preserve"> </w:t>
      </w:r>
      <w:r>
        <w:t xml:space="preserve">ulazna vrata.</w:t>
      </w:r>
    </w:p>
    <w:bookmarkEnd w:id="36"/>
    <w:bookmarkStart w:id="37" w:name="izduvni-sistem"/>
    <w:p>
      <w:pPr>
        <w:pStyle w:val="Heading3"/>
      </w:pPr>
      <w:r>
        <w:t xml:space="preserve">4.4 Izduvni sistem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Protok izduvnih gasova</w:t>
            </w:r>
          </w:p>
        </w:tc>
        <w:tc>
          <w:tcPr/>
          <w:p>
            <w:pPr>
              <w:pStyle w:val="Compact"/>
            </w:pPr>
            <w:r>
              <w:t xml:space="preserve">192 m³/h (3,2 m³/min) pri 413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Maks. dozvoljeni protutlak</w:t>
            </w:r>
          </w:p>
        </w:tc>
        <w:tc>
          <w:tcPr/>
          <w:p>
            <w:pPr>
              <w:pStyle w:val="Compact"/>
            </w:pPr>
            <w:r>
              <w:t xml:space="preserve">10,2 kPa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Dijametar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50</w:t>
            </w:r>
            <w:r>
              <w:t xml:space="preserve"> </w:t>
            </w:r>
            <w:r>
              <w:t xml:space="preserve">— pri 192 m³/h i 413 °C brzina je 27,2 m/s (&lt; 30 m/s), protutlak ≈1,9 kPa uz dozvoljenih 10,2 kPa. Prečnik određuje brzina, ne protutlak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Prigušivač</w:t>
            </w:r>
          </w:p>
        </w:tc>
        <w:tc>
          <w:tcPr/>
          <w:p>
            <w:pPr>
              <w:pStyle w:val="Compact"/>
            </w:pPr>
            <w:r>
              <w:t xml:space="preserve">industrijski;</w:t>
            </w:r>
            <w:r>
              <w:t xml:space="preserve"> </w:t>
            </w:r>
            <w:r>
              <w:rPr>
                <w:b/>
                <w:bCs/>
              </w:rPr>
              <w:t xml:space="preserve">hvatač iskri obavezan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Fleksibilni priključak</w:t>
            </w:r>
          </w:p>
        </w:tc>
        <w:tc>
          <w:tcPr/>
          <w:p>
            <w:pPr>
              <w:pStyle w:val="Compact"/>
            </w:pPr>
            <w:r>
              <w:t xml:space="preserve">neposredno iza motora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Trasa i dužine</w:t>
            </w:r>
          </w:p>
        </w:tc>
        <w:tc>
          <w:tcPr/>
          <w:p>
            <w:pPr>
              <w:pStyle w:val="Compact"/>
            </w:pPr>
            <w:r>
              <w:t xml:space="preserve">1 m od elastičnog umetka do prigušivača sa jednim lukom 90°; do 4 m od prigušivača do izlaza, uspon uz</w:t>
            </w:r>
            <w:r>
              <w:t xml:space="preserve"> </w:t>
            </w:r>
            <w:r>
              <w:rPr>
                <w:b/>
                <w:bCs/>
              </w:rPr>
              <w:t xml:space="preserve">ZAPADNI zid</w:t>
            </w:r>
            <w:r>
              <w:t xml:space="preserve"> </w:t>
            </w:r>
            <w:r>
              <w:t xml:space="preserve">kontejnera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Izolacija</w:t>
            </w:r>
          </w:p>
        </w:tc>
        <w:tc>
          <w:tcPr/>
          <w:p>
            <w:pPr>
              <w:pStyle w:val="Compact"/>
            </w:pPr>
            <w:r>
              <w:t xml:space="preserve">kamena vuna d = 50 mm + Al lim d = 1 mm, razvijena površina</w:t>
            </w:r>
            <w:r>
              <w:t xml:space="preserve"> </w:t>
            </w:r>
            <w:r>
              <w:rPr>
                <w:b/>
                <w:bCs/>
              </w:rPr>
              <w:t xml:space="preserve">≈3,0 m²</w:t>
            </w:r>
            <w:r>
              <w:t xml:space="preserve">; boja otporna na 600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Završetak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iznad krova, usmjeren naviše</w:t>
            </w:r>
            <w:r>
              <w:t xml:space="preserve">, sa kapom protiv upada padavina, ≥3 m od usisa zraka i odušne cijevi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Provjera</w:t>
            </w:r>
          </w:p>
        </w:tc>
        <w:tc>
          <w:tcPr/>
          <w:p>
            <w:pPr>
              <w:pStyle w:val="Compact"/>
            </w:pPr>
            <w:r>
              <w:t xml:space="preserve">Ponuđač dostavlja proračun protutlaka</w:t>
            </w:r>
          </w:p>
        </w:tc>
      </w:tr>
    </w:tbl>
    <w:bookmarkEnd w:id="37"/>
    <w:bookmarkStart w:id="38" w:name="elektroinstalacije-i-zaštite"/>
    <w:p>
      <w:pPr>
        <w:pStyle w:val="Heading3"/>
      </w:pPr>
      <w:r>
        <w:t xml:space="preserve">4.5 Elektroinstalacije i zaštite</w:t>
      </w:r>
    </w:p>
    <w:p>
      <w:pPr>
        <w:pStyle w:val="FirstParagraph"/>
      </w:pPr>
      <w:r>
        <w:t xml:space="preserve">Zahtijeva se</w:t>
      </w:r>
      <w:r>
        <w:t xml:space="preserve"> </w:t>
      </w:r>
      <w:r>
        <w:rPr>
          <w:b/>
          <w:bCs/>
        </w:rPr>
        <w:t xml:space="preserve">NEZAVISNA POBUDA</w:t>
      </w:r>
      <w:r>
        <w:t xml:space="preserve"> </w:t>
      </w:r>
      <w:r>
        <w:t xml:space="preserve">generatora (PMG ili AREP/AUX) sa 3 × In u trajanju</w:t>
      </w:r>
      <w:r>
        <w:t xml:space="preserve"> </w:t>
      </w:r>
      <w:r>
        <w:t xml:space="preserve">≥10 s (Tačka 4.1), kao i zaštita zaštitnom strujnom sklopkom (RCD) kao glavnim</w:t>
      </w:r>
      <w:r>
        <w:t xml:space="preserve"> </w:t>
      </w:r>
      <w:r>
        <w:t xml:space="preserve">sredstvom zaštite od indirektnog dodira.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Nazivna struja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= 26,0 A</w:t>
            </w:r>
            <w:r>
              <w:t xml:space="preserve"> </w:t>
            </w:r>
            <w:r>
              <w:t xml:space="preserve">pri 18 kVA / 400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Struja kvara (SHUNT)</w:t>
            </w:r>
          </w:p>
        </w:tc>
        <w:tc>
          <w:tcPr/>
          <w:p>
            <w:pPr>
              <w:pStyle w:val="Compact"/>
            </w:pPr>
            <w:r>
              <w:t xml:space="preserve">prva poluperioda ≈333 A (12,8 × In) → prelazna ≈169 A (6,5 × In) →</w:t>
            </w:r>
            <w:r>
              <w:t xml:space="preserve"> </w:t>
            </w:r>
            <w:r>
              <w:rPr>
                <w:b/>
                <w:bCs/>
              </w:rPr>
              <w:t xml:space="preserve">TRAJNA ≈13 A (0,5 × In)</w:t>
            </w:r>
            <w:r>
              <w:t xml:space="preserve"> </w:t>
            </w:r>
            <w:r>
              <w:t xml:space="preserve">— ne aktivira zaštitu (</w:t>
            </w:r>
            <w:r>
              <w:rPr>
                <w:b/>
                <w:bCs/>
              </w:rPr>
              <w:t xml:space="preserve">ne zadovoljava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Struja kvara (PMG/AREP)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≥78 A (3 × In) trajno ≥10 s — ZAHTIJEVANO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zaštite</w:t>
            </w:r>
          </w:p>
        </w:tc>
        <w:tc>
          <w:tcPr/>
          <w:p>
            <w:pPr>
              <w:pStyle w:val="Compact"/>
            </w:pPr>
            <w:r>
              <w:t xml:space="preserve">TN-S, jedinstvena tačka spajanja N i PE u novom GRO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Glavna zaštita</w:t>
            </w:r>
          </w:p>
        </w:tc>
        <w:tc>
          <w:tcPr/>
          <w:p>
            <w:pPr>
              <w:pStyle w:val="Compact"/>
            </w:pPr>
            <w:r>
              <w:t xml:space="preserve">4p RCD 63 A / 300 mA, S-tip (selektivna)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Krajnji strujni krugovi</w:t>
            </w:r>
          </w:p>
        </w:tc>
        <w:tc>
          <w:tcPr/>
          <w:p>
            <w:pPr>
              <w:pStyle w:val="Compact"/>
            </w:pPr>
            <w:r>
              <w:t xml:space="preserve">2 × RCBO 16 A / 30 mA, tip A (utičnice, rasvjeta)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Sklopka izvora</w:t>
            </w:r>
          </w:p>
        </w:tc>
        <w:tc>
          <w:tcPr/>
          <w:p>
            <w:pPr>
              <w:pStyle w:val="Compact"/>
            </w:pPr>
            <w:r>
              <w:t xml:space="preserve">4p 63 A, položaji 1 – agregat / 0 – isključeno / 2 – rezerva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AC strana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 1 + 2</w:t>
            </w:r>
            <w:r>
              <w:t xml:space="preserve"> </w:t>
            </w:r>
            <w:r>
              <w:t xml:space="preserve">(Iimp ≥12,5 kA) — objekat ima vanjski LPS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DC strana</w:t>
            </w:r>
          </w:p>
        </w:tc>
        <w:tc>
          <w:tcPr/>
          <w:p>
            <w:pPr>
              <w:pStyle w:val="Compact"/>
            </w:pPr>
            <w:r>
              <w:t xml:space="preserve">tip 2 po stringu (Iimp ≥5 kA, Ucpv ≥425 V), na PVDB i na polju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signalni vodovi</w:t>
            </w:r>
          </w:p>
        </w:tc>
        <w:tc>
          <w:tcPr/>
          <w:p>
            <w:pPr>
              <w:pStyle w:val="Compact"/>
            </w:pPr>
            <w:r>
              <w:t xml:space="preserve">prema EN 61643-21 (obavezno za stub h = 38 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Postojeći strujni krugovi</w:t>
            </w:r>
          </w:p>
        </w:tc>
        <w:tc>
          <w:tcPr/>
          <w:p>
            <w:pPr>
              <w:pStyle w:val="Compact"/>
            </w:pPr>
            <w:r>
              <w:t xml:space="preserve">snimiti stanje i prevezati postojeće krugove u novi GRO; signalna rasvjeta antenskog stuba (K7) prelazi na DC razvod −48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 kablovi</w:t>
            </w:r>
          </w:p>
        </w:tc>
        <w:tc>
          <w:tcPr/>
          <w:p>
            <w:pPr>
              <w:pStyle w:val="Compact"/>
            </w:pPr>
            <w:r>
              <w:t xml:space="preserve">bezhalogeni, CPR ≥ Cca-s1b,d1,a1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 kablovi</w:t>
            </w:r>
          </w:p>
        </w:tc>
        <w:tc>
          <w:tcPr/>
          <w:p>
            <w:pPr>
              <w:pStyle w:val="Compact"/>
            </w:pPr>
            <w:r>
              <w:t xml:space="preserve">H1Z2Z2-K 6 mm²; priključak na iSSU presjekom 4 mm²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</w:pPr>
            <w:r>
              <w:t xml:space="preserve">≤10 Ω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Trajni potrošači — napajanje sa −48 V DC.</w:t>
      </w:r>
      <w:r>
        <w:t xml:space="preserve"> </w:t>
      </w:r>
      <w:r>
        <w:t xml:space="preserve">Agregat je jedini izvor izmjeničnog napona:</w:t>
      </w:r>
      <w:r>
        <w:t xml:space="preserve"> </w:t>
      </w:r>
      <w:r>
        <w:t xml:space="preserve">izvodi GRO (rasvjeta, utičnice, pomoćni potrošači agregata, napajanje ispravljača) su pod</w:t>
      </w:r>
      <w:r>
        <w:t xml:space="preserve"> </w:t>
      </w:r>
      <w:r>
        <w:t xml:space="preserve">naponom samo dok agregat radi. Potrošači koji moraju raditi i kad agregat ne radi</w:t>
      </w:r>
      <w:r>
        <w:t xml:space="preserve"> </w:t>
      </w:r>
      <w:r>
        <w:t xml:space="preserve">napajaju se sa −48 V DC iz ormara Huawei ICC360-HA1-C1 — sa slobodnog DC izvoda sa</w:t>
      </w:r>
      <w:r>
        <w:t xml:space="preserve"> </w:t>
      </w:r>
      <w:r>
        <w:t xml:space="preserve">vlastitim zaštitnim prekidačem — preko novog</w:t>
      </w:r>
      <w:r>
        <w:t xml:space="preserve"> </w:t>
      </w:r>
      <w:r>
        <w:rPr>
          <w:b/>
          <w:bCs/>
        </w:rPr>
        <w:t xml:space="preserve">DC razvoda −48 V</w:t>
      </w:r>
      <w:r>
        <w:t xml:space="preserve"> </w:t>
      </w:r>
      <w:r>
        <w:t xml:space="preserve">u kontejneru: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Potrošač na DC razvodu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Svjetiljka za obilježavanje antenskog stuba (K7)</w:t>
            </w:r>
          </w:p>
        </w:tc>
        <w:tc>
          <w:tcPr/>
          <w:p>
            <w:pPr>
              <w:pStyle w:val="Compact"/>
            </w:pPr>
            <w:r>
              <w:t xml:space="preserve">LED za 48 V DC, niskog intenziteta, sa foto-senzorom i nadzorom ispada prema SMU, umjesto postojeće svjetiljke; ili postojeća svjetiljka preko DC/AC pretvarača ≤100 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Vatrodojavna centrala</w:t>
            </w:r>
          </w:p>
        </w:tc>
        <w:tc>
          <w:tcPr/>
          <w:p>
            <w:pPr>
              <w:pStyle w:val="Compact"/>
            </w:pPr>
            <w:r>
              <w:t xml:space="preserve">preko DC/DC pretvarača na nazivni napon centrale; centrala zadržava vlastite akumulatore prema EN 54-4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Punjač akumulatora za start agregata</w:t>
            </w:r>
          </w:p>
        </w:tc>
        <w:tc>
          <w:tcPr/>
          <w:p>
            <w:pPr>
              <w:pStyle w:val="Compact"/>
            </w:pPr>
            <w:r>
              <w:t xml:space="preserve">DC/DC 48 V → 12/24 V prema agregatu, sa strujnim ograničenjem i signalizacijom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</w:pPr>
            <w:r>
              <w:t xml:space="preserve">48 V DC (EC), Tačka 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Rasvjeta kontejnera</w:t>
            </w:r>
          </w:p>
        </w:tc>
        <w:tc>
          <w:tcPr/>
          <w:p>
            <w:pPr>
              <w:pStyle w:val="Compact"/>
            </w:pPr>
            <w:r>
              <w:t xml:space="preserve">najmanje jedna LED svjetiljka 48 V DC sa prekidačem uz vrata — svjetlo i kad agregat ne radi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Ukupna trajna potrošnja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≤25 W prosječno</w:t>
            </w:r>
            <w:r>
              <w:t xml:space="preserve"> </w:t>
            </w:r>
            <w:r>
              <w:t xml:space="preserve">(bez rasvjete kontejnera, koja radi samo pri obilasku); Ponuđač dostavlja proračun potrošnje. Energetski bilans (Tačka 8) računa sa 45 W pomoćne potrošnje na −48 V: 20 W za SMU, BMS i ispravljače u mirovanju i 25 W za trajne potrošače</w:t>
            </w:r>
          </w:p>
        </w:tc>
      </w:tr>
    </w:tbl>
    <w:bookmarkEnd w:id="38"/>
    <w:bookmarkStart w:id="39" w:name="Xffc65aa8ef0639ad90862f5a47788725682a937"/>
    <w:p>
      <w:pPr>
        <w:pStyle w:val="Heading3"/>
      </w:pPr>
      <w:r>
        <w:t xml:space="preserve">4.6 Parametriranje upravljanja i nadzora (DEA + PV + baterije)</w:t>
      </w:r>
    </w:p>
    <w:p>
      <w:pPr>
        <w:pStyle w:val="Compact"/>
        <w:numPr>
          <w:ilvl w:val="0"/>
          <w:numId w:val="1003"/>
        </w:numPr>
      </w:pPr>
      <w:r>
        <w:t xml:space="preserve">start agregata prema</w:t>
      </w:r>
      <w:r>
        <w:t xml:space="preserve"> </w:t>
      </w:r>
      <w:r>
        <w:rPr>
          <w:b/>
          <w:bCs/>
        </w:rPr>
        <w:t xml:space="preserve">stanju napunjenosti baterija (SoC)</w:t>
      </w:r>
      <w:r>
        <w:t xml:space="preserve">, a ne prema ispadu mreže</w:t>
      </w:r>
      <w:r>
        <w:t xml:space="preserve"> </w:t>
      </w:r>
      <w:r>
        <w:t xml:space="preserve">— lokacija nema priključak EES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ograničenje ulazne snage ispravljačkog sistema na maks. 9,5 kW dok agregat radi.</w:t>
      </w:r>
      <w:r>
        <w:t xml:space="preserve"> </w:t>
      </w:r>
      <w:r>
        <w:t xml:space="preserve">Derativana prime snaga agregata na lokaciji je 11,6 kW, a neograničen ispravljački</w:t>
      </w:r>
      <w:r>
        <w:t xml:space="preserve"> </w:t>
      </w:r>
      <w:r>
        <w:t xml:space="preserve">sistem vuče ≈12,5 kW. Granica ujedno drži agregat iznad 30 % opterećenja i</w:t>
      </w:r>
      <w:r>
        <w:t xml:space="preserve"> </w:t>
      </w:r>
      <w:r>
        <w:t xml:space="preserve">sprječava mokri rad motora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parametriranje SMU za minimalan rad agregata (OBAVEZNO)</w:t>
      </w:r>
      <w:r>
        <w:t xml:space="preserve"> </w:t>
      </w:r>
      <w:r>
        <w:t xml:space="preserve">— dokazuje se protokolom</w:t>
      </w:r>
      <w:r>
        <w:t xml:space="preserve"> </w:t>
      </w:r>
      <w:r>
        <w:t xml:space="preserve">iz Tačke 5, stavka 12:</w:t>
      </w:r>
    </w:p>
    <w:p>
      <w:pPr>
        <w:pStyle w:val="Compact"/>
        <w:numPr>
          <w:ilvl w:val="1"/>
          <w:numId w:val="1004"/>
        </w:numPr>
      </w:pPr>
      <w:r>
        <w:t xml:space="preserve">start agregata pri dubini pražnjenja baterija</w:t>
      </w:r>
      <w:r>
        <w:t xml:space="preserve"> </w:t>
      </w:r>
      <w:r>
        <w:rPr>
          <w:b/>
          <w:bCs/>
        </w:rPr>
        <w:t xml:space="preserve">DOD 85 %</w:t>
      </w:r>
      <w:r>
        <w:t xml:space="preserve"> </w:t>
      </w:r>
      <w:r>
        <w:t xml:space="preserve">(SoC 15 %)</w:t>
      </w:r>
    </w:p>
    <w:p>
      <w:pPr>
        <w:pStyle w:val="Compact"/>
        <w:numPr>
          <w:ilvl w:val="1"/>
          <w:numId w:val="1004"/>
        </w:numPr>
      </w:pPr>
      <w:r>
        <w:t xml:space="preserve">zaustavljanje agregata pri</w:t>
      </w:r>
      <w:r>
        <w:t xml:space="preserve"> </w:t>
      </w:r>
      <w:r>
        <w:rPr>
          <w:b/>
          <w:bCs/>
        </w:rPr>
        <w:t xml:space="preserve">SoC 60 %</w:t>
      </w:r>
      <w:r>
        <w:t xml:space="preserve"> </w:t>
      </w:r>
      <w:r>
        <w:t xml:space="preserve">— ostatak punjenja preuzima fotonaponsko</w:t>
      </w:r>
      <w:r>
        <w:t xml:space="preserve"> </w:t>
      </w:r>
      <w:r>
        <w:t xml:space="preserve">polje; punjenje baterija agregatom do vrha povećava rad agregata za 11–17 %</w:t>
      </w:r>
    </w:p>
    <w:p>
      <w:pPr>
        <w:pStyle w:val="Compact"/>
        <w:numPr>
          <w:ilvl w:val="1"/>
          <w:numId w:val="1004"/>
        </w:numPr>
      </w:pPr>
      <w:r>
        <w:t xml:space="preserve">struja punjenja baterija podešena tako da ne ograničava agregat ispod 9,5 kW: na</w:t>
      </w:r>
      <w:r>
        <w:t xml:space="preserve"> </w:t>
      </w:r>
      <w:r>
        <w:t xml:space="preserve">najveću vrijednost koju dozvoljava BMS baterijskih modula (proračun pretpostavlja</w:t>
      </w:r>
      <w:r>
        <w:t xml:space="preserve"> </w:t>
      </w:r>
      <w:r>
        <w:t xml:space="preserve">0,5 C), uz pisanu potvrdu proizvođača</w:t>
      </w:r>
    </w:p>
    <w:p>
      <w:pPr>
        <w:pStyle w:val="Compact"/>
        <w:numPr>
          <w:ilvl w:val="1"/>
          <w:numId w:val="1004"/>
        </w:numPr>
      </w:pPr>
      <w:r>
        <w:t xml:space="preserve">najkraće vrijeme rada agregata po startu</w:t>
      </w:r>
      <w:r>
        <w:t xml:space="preserve"> </w:t>
      </w:r>
      <w:r>
        <w:rPr>
          <w:b/>
          <w:bCs/>
        </w:rPr>
        <w:t xml:space="preserve">1 h</w:t>
      </w:r>
    </w:p>
    <w:p>
      <w:pPr>
        <w:pStyle w:val="Compact"/>
        <w:numPr>
          <w:ilvl w:val="0"/>
          <w:numId w:val="1003"/>
        </w:numPr>
      </w:pPr>
      <w:r>
        <w:t xml:space="preserve">prijenos alarma u sistem daljinskog nadzora: rad agregata, kvar, nivo goriva,</w:t>
      </w:r>
      <w:r>
        <w:t xml:space="preserve"> </w:t>
      </w:r>
      <w:r>
        <w:t xml:space="preserve">curenje goriva, požar, temperatura prostora</w:t>
      </w:r>
    </w:p>
    <w:p>
      <w:pPr>
        <w:pStyle w:val="Compact"/>
        <w:numPr>
          <w:ilvl w:val="0"/>
          <w:numId w:val="1003"/>
        </w:numPr>
      </w:pPr>
      <w:r>
        <w:t xml:space="preserve">upravljačka jedinica kompatibilna sa postojećim sistemom napajanja (modul GIM01C1,</w:t>
      </w:r>
      <w:r>
        <w:t xml:space="preserve"> </w:t>
      </w:r>
      <w:r>
        <w:t xml:space="preserve">AC ulazni modul AIU03)</w:t>
      </w:r>
    </w:p>
    <w:bookmarkEnd w:id="39"/>
    <w:bookmarkStart w:id="40" w:name="zaštita-od-požara"/>
    <w:p>
      <w:pPr>
        <w:pStyle w:val="Heading3"/>
      </w:pPr>
      <w:r>
        <w:t xml:space="preserve">4.7 Zaštita od požara</w:t>
      </w:r>
    </w:p>
    <w:p>
      <w:pPr>
        <w:pStyle w:val="Compact"/>
        <w:numPr>
          <w:ilvl w:val="0"/>
          <w:numId w:val="1005"/>
        </w:numPr>
      </w:pPr>
      <w:r>
        <w:t xml:space="preserve">elaborat zaštite od požara za prostor sa 500 l dizel goriva — tokom primopredaje</w:t>
      </w:r>
    </w:p>
    <w:p>
      <w:pPr>
        <w:pStyle w:val="Compact"/>
        <w:numPr>
          <w:ilvl w:val="0"/>
          <w:numId w:val="1005"/>
        </w:numPr>
      </w:pPr>
      <w:r>
        <w:t xml:space="preserve">detekcija: dimni i termički detektori; detekcija CO i NO₂</w:t>
      </w:r>
    </w:p>
    <w:p>
      <w:pPr>
        <w:pStyle w:val="Compact"/>
        <w:numPr>
          <w:ilvl w:val="0"/>
          <w:numId w:val="1005"/>
        </w:numPr>
      </w:pPr>
      <w:r>
        <w:t xml:space="preserve">automatsko gašenje sredstvom za klasu B, sa</w:t>
      </w:r>
      <w:r>
        <w:t xml:space="preserve"> </w:t>
      </w:r>
      <w:r>
        <w:rPr>
          <w:b/>
          <w:bCs/>
        </w:rPr>
        <w:t xml:space="preserve">blokadom ventilacije pri aktivaciji</w:t>
      </w:r>
    </w:p>
    <w:p>
      <w:pPr>
        <w:pStyle w:val="Compact"/>
        <w:numPr>
          <w:ilvl w:val="0"/>
          <w:numId w:val="1005"/>
        </w:numPr>
      </w:pPr>
      <w:r>
        <w:t xml:space="preserve">protupožarni ventil na izlazu iz spremnika</w:t>
      </w:r>
    </w:p>
    <w:p>
      <w:pPr>
        <w:pStyle w:val="Compact"/>
        <w:numPr>
          <w:ilvl w:val="0"/>
          <w:numId w:val="1005"/>
        </w:numPr>
      </w:pPr>
      <w:r>
        <w:t xml:space="preserve">E-STOP izvan kontejnera pored ulaznih vrata, prema ISO 13850 kategorija 0</w:t>
      </w:r>
    </w:p>
    <w:p>
      <w:pPr>
        <w:pStyle w:val="Compact"/>
        <w:numPr>
          <w:ilvl w:val="0"/>
          <w:numId w:val="1005"/>
        </w:numPr>
      </w:pPr>
      <w:r>
        <w:t xml:space="preserve">oznake opasnosti, zabrana pušenja, oznaka kapaciteta goriva</w:t>
      </w:r>
    </w:p>
    <w:p>
      <w:pPr>
        <w:pStyle w:val="Compact"/>
        <w:numPr>
          <w:ilvl w:val="0"/>
          <w:numId w:val="1005"/>
        </w:numPr>
      </w:pPr>
      <w:r>
        <w:t xml:space="preserve">najmanje dva aparata za gašenje odgovarajuće klase</w:t>
      </w:r>
    </w:p>
    <w:p>
      <w:pPr>
        <w:pStyle w:val="FirstParagraph"/>
      </w:pPr>
      <w:r>
        <w:t xml:space="preserve">Elaborat zaštite od požara, protupožarni ventil na spremniku i blokada ventilacije pri</w:t>
      </w:r>
      <w:r>
        <w:t xml:space="preserve"> </w:t>
      </w:r>
      <w:r>
        <w:t xml:space="preserve">aktivaciji gašenja</w:t>
      </w:r>
      <w:r>
        <w:t xml:space="preserve"> </w:t>
      </w:r>
      <w:r>
        <w:rPr>
          <w:b/>
          <w:bCs/>
        </w:rPr>
        <w:t xml:space="preserve">zasebno su iskazani u Prilogu II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dokazi-koji-se-dostavljaju"/>
    <w:p>
      <w:pPr>
        <w:pStyle w:val="Heading2"/>
      </w:pPr>
      <w:r>
        <w:t xml:space="preserve">5. Dokazi koji se dostavljaju</w:t>
      </w:r>
    </w:p>
    <w:p>
      <w:pPr>
        <w:pStyle w:val="FirstParagraph"/>
      </w:pPr>
      <w:r>
        <w:t xml:space="preserve">Dokazi koji se dostavljaju</w:t>
      </w:r>
      <w:r>
        <w:t xml:space="preserve"> </w:t>
      </w:r>
      <w:r>
        <w:rPr>
          <w:b/>
          <w:bCs/>
        </w:rPr>
        <w:t xml:space="preserve">uz ponudu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PONUDA</w:t>
      </w:r>
      <w:r>
        <w:t xml:space="preserve">; dokazi koji se</w:t>
      </w:r>
      <w:r>
        <w:t xml:space="preserve"> </w:t>
      </w:r>
      <w:r>
        <w:t xml:space="preserve">dostavljaju</w:t>
      </w:r>
      <w:r>
        <w:t xml:space="preserve"> </w:t>
      </w:r>
      <w:r>
        <w:rPr>
          <w:b/>
          <w:bCs/>
        </w:rPr>
        <w:t xml:space="preserve">u toku realizacije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REALIZACIJA</w:t>
      </w:r>
      <w:r>
        <w:t xml:space="preserve">; dokazi koji se</w:t>
      </w:r>
      <w:r>
        <w:t xml:space="preserve"> </w:t>
      </w:r>
      <w:r>
        <w:t xml:space="preserve">dostavljaju komisiji</w:t>
      </w:r>
      <w:r>
        <w:t xml:space="preserve"> </w:t>
      </w:r>
      <w:r>
        <w:rPr>
          <w:b/>
          <w:bCs/>
        </w:rPr>
        <w:t xml:space="preserve">tokom primopredaje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PRIMOPREDAJA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Br.</w:t>
            </w:r>
          </w:p>
        </w:tc>
        <w:tc>
          <w:tcPr/>
          <w:p>
            <w:pPr>
              <w:pStyle w:val="Compact"/>
            </w:pPr>
            <w:r>
              <w:t xml:space="preserve">Dokaz</w:t>
            </w:r>
          </w:p>
        </w:tc>
        <w:tc>
          <w:tcPr/>
          <w:p>
            <w:pPr>
              <w:pStyle w:val="Compact"/>
            </w:pPr>
            <w:r>
              <w:t xml:space="preserve">LOT</w:t>
            </w:r>
          </w:p>
        </w:tc>
        <w:tc>
          <w:tcPr/>
          <w:p>
            <w:pPr>
              <w:pStyle w:val="Compact"/>
            </w:pPr>
            <w:r>
              <w:t xml:space="preserve">Oznaka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Statički proračun nosive konstrukcije i temelja za qp ≥ 1,20 kN/m² pri 45°, ovjeren i potpisan od ovlaštenog inženjera, sa dokazom na podizanje i prevrtanje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Tehnički nacrti konstrukcije i temelja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Izjava o svojstvima prema EN 1090-1 i klasa izvedbe EXC2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Atesti materijala (čelik) i potvrda o vrućem cinčanju (debljina sloja)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ETA certifikat i proračun za hemijska sidra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Zapisnik o ispitivanju ankera na čupanje (min. 10 %)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Tehnički list (TDS) agregata sa dokazom o PMG/AREP nezavisnoj pobudi (3 × In, ≥10 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Proračun pada pritiska ventilacije i protutlaka izduvnog sistema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Elaborat zaštite od požara za prostor sa rezervoarom 500 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Atesti i certifikati za elektro opremu, CPR kablove i prenaponsku zaštitu (SPD)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Ispitni protokoli elektroinstalacija i otpora uzemljenja (≤10 Ω)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PRIMOPREDAJA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Protokol o parametriranju i funkcionalnom ispitivanju integracije DEA–PV–baterija, uključujući postavljeno ograničenje od 9,5 kW, start pri DOD 85 %, stop pri SoC 60 %, struju punjenja uz potvrdu proizvođača baterija i najkraće vrijeme rada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PRIMOPREDAJA</w:t>
            </w:r>
          </w:p>
        </w:tc>
      </w:tr>
    </w:tbl>
    <w:bookmarkEnd w:id="42"/>
    <w:bookmarkStart w:id="43" w:name="ispitivanja-i-puštanje-u-rad"/>
    <w:p>
      <w:pPr>
        <w:pStyle w:val="Heading2"/>
      </w:pPr>
      <w:r>
        <w:t xml:space="preserve">6. Ispitivanja i puštanje u rad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Ispitivanje</w:t>
            </w:r>
          </w:p>
        </w:tc>
        <w:tc>
          <w:tcPr/>
          <w:p>
            <w:pPr>
              <w:pStyle w:val="Compact"/>
            </w:pPr>
            <w:r>
              <w:t xml:space="preserve">Kriterij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</w:pPr>
            <w:r>
              <w:t xml:space="preserve">≤10 Ω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Kontinuitet zaštitnih vodiča</w:t>
            </w:r>
          </w:p>
        </w:tc>
        <w:tc>
          <w:tcPr/>
          <w:p>
            <w:pPr>
              <w:pStyle w:val="Compact"/>
            </w:pPr>
            <w:r>
              <w:t xml:space="preserve">≤0,1 Ω po spoju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Ispitivanje čupanja ankera</w:t>
            </w:r>
          </w:p>
        </w:tc>
        <w:tc>
          <w:tcPr/>
          <w:p>
            <w:pPr>
              <w:pStyle w:val="Compact"/>
            </w:pPr>
            <w:r>
              <w:t xml:space="preserve">≥10 % ankera, do 1,5 × projektne sile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Funkcionalno ispitivanje RCD</w:t>
            </w:r>
          </w:p>
        </w:tc>
        <w:tc>
          <w:tcPr/>
          <w:p>
            <w:pPr>
              <w:pStyle w:val="Compact"/>
            </w:pPr>
            <w:r>
              <w:t xml:space="preserve">vrijeme i struja isključenja prema IEC 61008/61009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Ispitivanje ventilacije</w:t>
            </w:r>
          </w:p>
        </w:tc>
        <w:tc>
          <w:tcPr/>
          <w:p>
            <w:pPr>
              <w:pStyle w:val="Compact"/>
            </w:pPr>
            <w:r>
              <w:t xml:space="preserve">izmjereni pad pritiska ≤125 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Funkcionalno ispitivanje agregata</w:t>
            </w:r>
          </w:p>
        </w:tc>
        <w:tc>
          <w:tcPr/>
          <w:p>
            <w:pPr>
              <w:pStyle w:val="Compact"/>
            </w:pPr>
            <w:r>
              <w:t xml:space="preserve">automatski start/stop, zaštite, alarmi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Probni rad</w:t>
            </w:r>
          </w:p>
        </w:tc>
        <w:tc>
          <w:tcPr/>
          <w:p>
            <w:pPr>
              <w:pStyle w:val="Compact"/>
            </w:pPr>
            <w:r>
              <w:t xml:space="preserve">72 h neprekidnog rada sa simulacijom opterećenja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Mjerenje temperature prostora</w:t>
            </w:r>
          </w:p>
        </w:tc>
        <w:tc>
          <w:tcPr/>
          <w:p>
            <w:pPr>
              <w:pStyle w:val="Compact"/>
            </w:pPr>
            <w:r>
              <w:t xml:space="preserve">pri radu agregata na nazivnom opterećenju</w:t>
            </w:r>
          </w:p>
        </w:tc>
      </w:tr>
    </w:tbl>
    <w:bookmarkEnd w:id="43"/>
    <w:bookmarkStart w:id="44" w:name="garancija"/>
    <w:p>
      <w:pPr>
        <w:pStyle w:val="Heading2"/>
      </w:pPr>
      <w:r>
        <w:t xml:space="preserve">7. Garancija</w:t>
      </w:r>
    </w:p>
    <w:p>
      <w:pPr>
        <w:pStyle w:val="Compact"/>
        <w:numPr>
          <w:ilvl w:val="0"/>
          <w:numId w:val="1006"/>
        </w:numPr>
      </w:pPr>
      <w:r>
        <w:t xml:space="preserve">garantni period minimalno</w:t>
      </w:r>
      <w:r>
        <w:t xml:space="preserve"> </w:t>
      </w:r>
      <w:r>
        <w:rPr>
          <w:b/>
          <w:bCs/>
        </w:rPr>
        <w:t xml:space="preserve">24 mjeseca</w:t>
      </w:r>
      <w:r>
        <w:t xml:space="preserve"> </w:t>
      </w:r>
      <w:r>
        <w:t xml:space="preserve">od zapisnika o primopredaji bez primjedbi</w:t>
      </w:r>
    </w:p>
    <w:p>
      <w:pPr>
        <w:pStyle w:val="Compact"/>
        <w:numPr>
          <w:ilvl w:val="0"/>
          <w:numId w:val="1006"/>
        </w:numPr>
      </w:pPr>
      <w:r>
        <w:t xml:space="preserve">postgarantni period minimalno</w:t>
      </w:r>
      <w:r>
        <w:t xml:space="preserve"> </w:t>
      </w:r>
      <w:r>
        <w:rPr>
          <w:b/>
          <w:bCs/>
        </w:rPr>
        <w:t xml:space="preserve">5 godina</w:t>
      </w:r>
    </w:p>
    <w:p>
      <w:pPr>
        <w:pStyle w:val="Compact"/>
        <w:numPr>
          <w:ilvl w:val="0"/>
          <w:numId w:val="1006"/>
        </w:numPr>
      </w:pPr>
      <w:r>
        <w:t xml:space="preserve">spisak preporučenih rezervnih dijelova za 500 h rada agregata</w:t>
      </w:r>
    </w:p>
    <w:p>
      <w:pPr>
        <w:pStyle w:val="Compact"/>
        <w:numPr>
          <w:ilvl w:val="0"/>
          <w:numId w:val="1006"/>
        </w:numPr>
      </w:pPr>
      <w:r>
        <w:t xml:space="preserve">dokumentacija izvedenog stanja i uputstva za pogon i održavanje</w:t>
      </w:r>
    </w:p>
    <w:p>
      <w:r>
        <w:pict>
          <v:rect style="width:0;height:1.5pt" o:hralign="center" o:hrstd="t" o:hr="t"/>
        </w:pict>
      </w:r>
    </w:p>
    <w:bookmarkEnd w:id="44"/>
    <w:bookmarkStart w:id="51" w:name="očekivani-energetski-bilans-informativno"/>
    <w:p>
      <w:pPr>
        <w:pStyle w:val="Heading2"/>
      </w:pPr>
      <w:r>
        <w:t xml:space="preserve">8. Očekivani energetski bilans (informativno)</w:t>
      </w:r>
    </w:p>
    <w:p>
      <w:pPr>
        <w:pStyle w:val="FirstParagraph"/>
      </w:pPr>
      <w:r>
        <w:t xml:space="preserve">Satna simulacija energetskog bilansa na −48 V DC sabirnici za 19 godina (2005–2023):</w:t>
      </w:r>
      <w:r>
        <w:t xml:space="preserve"> </w:t>
      </w:r>
      <w:r>
        <w:t xml:space="preserve">ozračenje lokacije iz PVGIS-SARAH3, FN lanac sa gubicima po komponentama (uključujući</w:t>
      </w:r>
      <w:r>
        <w:t xml:space="preserve"> </w:t>
      </w:r>
      <w:r>
        <w:t xml:space="preserve">krivulju efikasnosti iSSU S4875G2), baterije 48,6 kWh (6 × 150 Ah), pomoćnu potrošnju od</w:t>
      </w:r>
      <w:r>
        <w:t xml:space="preserve"> </w:t>
      </w:r>
      <w:r>
        <w:t xml:space="preserve">45 W sa trajnim potrošačima iz Tačke 4.5 i agregat preko ispravljača ograničenih na</w:t>
      </w:r>
      <w:r>
        <w:t xml:space="preserve"> </w:t>
      </w:r>
      <w:r>
        <w:t xml:space="preserve">9,5 kW, uz parametriranje SMU iz Tačke 4.6. Metoda, provjera prema</w:t>
      </w:r>
      <w:r>
        <w:t xml:space="preserve"> </w:t>
      </w:r>
      <w:r>
        <w:t xml:space="preserve">PVGIS-u, gubici i osjetljivost na postavke su u Proračunima, dio A.6.</w:t>
      </w:r>
      <w:r>
        <w:t xml:space="preserve"> </w:t>
      </w:r>
      <w:r>
        <w:rPr>
          <w:b/>
          <w:bCs/>
        </w:rPr>
        <w:t xml:space="preserve">Vrijednosti su</w:t>
      </w:r>
      <w:r>
        <w:rPr>
          <w:b/>
          <w:bCs/>
        </w:rPr>
        <w:t xml:space="preserve"> </w:t>
      </w:r>
      <w:r>
        <w:rPr>
          <w:b/>
          <w:bCs/>
        </w:rPr>
        <w:t xml:space="preserve">informativne i ne mijenjaju zahtjeve Tačaka 3 i 4.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Pokazatelj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FN proizvodnja na DC sabirnici</w:t>
            </w:r>
          </w:p>
        </w:tc>
        <w:tc>
          <w:tcPr/>
          <w:p>
            <w:pPr>
              <w:pStyle w:val="Compact"/>
            </w:pPr>
            <w:r>
              <w:t xml:space="preserve">≈10 140 kWh/god (1 444 kWh/kWp)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Potrošnja</w:t>
            </w:r>
          </w:p>
        </w:tc>
        <w:tc>
          <w:tcPr/>
          <w:p>
            <w:pPr>
              <w:pStyle w:val="Compact"/>
            </w:pPr>
            <w:r>
              <w:t xml:space="preserve">≈10 790 kWh/god (1180 W TK + hlađenje ormara, pomoćna potrošnja i trajni potrošači na −48 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Decembar</w:t>
            </w:r>
          </w:p>
        </w:tc>
        <w:tc>
          <w:tcPr/>
          <w:p>
            <w:pPr>
              <w:pStyle w:val="Compact"/>
            </w:pPr>
            <w:r>
              <w:t xml:space="preserve">FN ≈560 kWh prema potrošnji ≈910 kWh — razliku pokriva agregat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Solarni udio u potrošnji</w:t>
            </w:r>
          </w:p>
        </w:tc>
        <w:tc>
          <w:tcPr/>
          <w:p>
            <w:pPr>
              <w:pStyle w:val="Compact"/>
            </w:pPr>
            <w:r>
              <w:t xml:space="preserve">79,2 %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Rad agregata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≈250 h/god</w:t>
            </w:r>
            <w:r>
              <w:t xml:space="preserve"> </w:t>
            </w:r>
            <w:r>
              <w:t xml:space="preserve">u prosjeku; u 9 od 10 godina do ≈310 h; najviše ≈330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Startova agregata</w:t>
            </w:r>
          </w:p>
        </w:tc>
        <w:tc>
          <w:tcPr/>
          <w:p>
            <w:pPr>
              <w:pStyle w:val="Compact"/>
            </w:pPr>
            <w:r>
              <w:t xml:space="preserve">≈90 godišnje, najviše ≈120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Potrošnja goriva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≈820 l/god</w:t>
            </w:r>
            <w:r>
              <w:t xml:space="preserve">; spremnik od 500 l dopunjava se dva puta godišnje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Nepokrivena potrošnja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Bez parametriranja iz Tačke 4.6 (zaustavljanje pri SoC 90 %, uobičajena struja</w:t>
      </w:r>
      <w:r>
        <w:t xml:space="preserve"> </w:t>
      </w:r>
      <w:r>
        <w:t xml:space="preserve">punjenja) agregat bi radio ≈280 h i trošio ≈910 l goriva godišnje.</w:t>
      </w:r>
    </w:p>
    <w:p>
      <w:pPr>
        <w:pStyle w:val="CaptionedFigure"/>
      </w:pPr>
      <w:r>
        <w:drawing>
          <wp:inline>
            <wp:extent cx="5523978" cy="3006246"/>
            <wp:effectExtent b="0" l="0" r="0" t="0"/>
            <wp:docPr descr="Slika 6 — Mjesečni energetski bilans: FN proizvodnja, agregat i potrošnja (prosjek i raspon 2005–2023)" title="" id="46" name="Picture"/>
            <a:graphic>
              <a:graphicData uri="http://schemas.openxmlformats.org/drawingml/2006/picture">
                <pic:pic>
                  <pic:nvPicPr>
                    <pic:cNvPr descr="../TD-OUTPUT/grafika/prilog1/energetski-bilan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978" cy="3006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6 — Mjesečni energetski bilans: FN proizvodnja, agregat i potrošnja (prosjek i raspon 2005–2023)</w:t>
      </w:r>
    </w:p>
    <w:p>
      <w:pPr>
        <w:pStyle w:val="CaptionedFigure"/>
      </w:pPr>
      <w:r>
        <w:drawing>
          <wp:inline>
            <wp:extent cx="5382016" cy="2676394"/>
            <wp:effectExtent b="0" l="0" r="0" t="0"/>
            <wp:docPr descr="Slika 7 — Horizont lokacije i putanje Sunca (PVGIS DEM)" title="" id="49" name="Picture"/>
            <a:graphic>
              <a:graphicData uri="http://schemas.openxmlformats.org/drawingml/2006/picture">
                <pic:pic>
                  <pic:nvPicPr>
                    <pic:cNvPr descr="../TD-OUTPUT/grafika/prilog1/horizo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016" cy="2676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7 — Horizont lokacije i putanje Sunca (PVGIS DEM)</w:t>
      </w:r>
    </w:p>
    <w:bookmarkEnd w:id="51"/>
    <w:bookmarkEnd w:id="52"/>
    <w:sectPr>
      <w:pgSz w:h="16838" w:w="11906"/>
      <w:pgMar w:bottom="1134" w:footer="709" w:gutter="0" w:header="709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1"/>
      <w:szCs w:val="21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1"/>
      <w:szCs w:val="21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2026-09-11T14:38:32Z</dcterms:created>
  <dcterms:modified xsi:type="dcterms:W3CDTF">2026-09-11T14:38:32Z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