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PRILOG I TENDERSKOJ DOKUMENTACIJI</w:t>
      </w:r>
    </w:p>
    <w:p>
      <w:pPr>
        <w:pStyle w:val="Subtitle"/>
      </w:pPr>
      <w:r>
        <w:t>SPECIFIKACIJA ZAHTJEVA</w:t>
      </w:r>
    </w:p>
    <w:p>
      <w:pPr>
        <w:jc w:val="center"/>
      </w:pPr>
      <w:r>
        <w:rPr>
          <w:color w:val="595959"/>
          <w:sz w:val="20"/>
        </w:rPr>
        <w:t>Autonomni hibridni sistem napajanja — bazna stanica SJEDNICA (Bileća)</w:t>
        <w:br/>
        <w:t>LOT 1: nosači fotonaponskih panela · LOT 2: dizel električni agregat u kontejneru</w:t>
      </w:r>
    </w:p>
    <w:p/>
    <w:p>
      <w:pPr>
        <w:spacing w:after="80"/>
      </w:pPr>
      <w:r>
        <w:rPr>
          <w:b w:val="0"/>
          <w:i w:val="0"/>
          <w:sz w:val="19"/>
        </w:rPr>
        <w:t>Ovaj Prilog utvrđuje tehničke zahtjeve i dokaze koje Ponuđač dostavlja UZ PONUDU. Zahtjevi označeni kao OBAVEZNI predstavljaju uslov kvalifikacije — ponuda koja ih ne sadrži smatra se neprihvatljivom. Prilog se čita zajedno sa Prilogom II (Obrazac za cijenu ponude) i Prilogom III (Situacija, dispozicija i grafički prilozi).</w:t>
      </w:r>
    </w:p>
    <w:p>
      <w:pPr>
        <w:pStyle w:val="Heading1"/>
      </w:pPr>
      <w:r>
        <w:t>0. Napomena o ispravkama u odnosu na raniju verziju</w:t>
      </w:r>
    </w:p>
    <w:p>
      <w:pPr>
        <w:spacing w:after="80"/>
      </w:pPr>
      <w:r>
        <w:rPr>
          <w:b w:val="0"/>
          <w:i w:val="0"/>
          <w:sz w:val="19"/>
        </w:rPr>
        <w:t>Sljedeće vrijednosti su ispravljene u odnosu na ranije radne verzije tehničkog opisa. Ispravke su zasnovane na ovjerenom projektu lokacije, tehničkim listovima proizvođača i mjerenjima na licu mjesta.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REDOSLIJED MJERODAVNOSTI. U slučaju neslaganja između dokumenata tenderske dokumentacije mjerodavni su, tim redom: (1) Tenderska dokumentacija (TD), (2) ovaj Prilog I, (3) Prilog II (Predmjer), (4) Prilog III (grafički prilozi i referentna dokumentacija). Prilog III sadrži i preuzete stranice ranije dokumentacije (npr. nacrte i podatke tipskog kontejnera K3, sa nosivošću poda 10,00 kN/m²) koje NISU mjerodavne za ovu nabavku — mjerodavna nosivost poda je 2,00 kN/m² prema Projektnom zadatku, a mjerodavni raspored opreme i otvora je onaj sa crteža M-01.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1814"/>
            <w:shd w:fill="F2F2F2"/>
          </w:tcPr>
          <w:p>
            <w:r/>
            <w:r>
              <w:rPr>
                <w:b/>
                <w:sz w:val="17"/>
              </w:rPr>
              <w:t>Stavka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Ranije navedeno</w:t>
            </w:r>
          </w:p>
        </w:tc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Ispravno (mjerodavno)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Izvor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Geometrija PV polja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projekcija 2590 mm, gornja ivica +3,09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projekcija 3236 mm, gornja ivica +3,74 m (v. red niže — sada +4,74 m uz 3×4 konfiguraciju)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Huawei PVM Tab. 4-20; izvedeno iz polja modula, a ne iz uzdužne grede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Visina ograde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1,80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1,90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lokacije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3,08 × 2,20 × 2,80 m / 3,00 × 2,10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3,005 × 2,30 m vanjski, zid 60 mm, PRAZAN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(unutra 6,29 m², obim 10,13 m)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Zrak hladnjaka DEA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≈4250 m³/h (procjena)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1980 m³/h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FG Wilson P22-6 TDS, 2019-08-14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≥0,43 m² (1200 × 800 mm)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500 × 700 mm zadovoljava (Δp≈16 Pa)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proračun prema max. vanjskom otporu 125 Pa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≥2400 m³/h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1200 m³/h (dopunska ventilacija)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hlađenje ostvaruje vlastiti ventilator hladnjaka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Izduv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DN 65 minimum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DN 50 zadovoljava; DN 65 preporučeno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protutlak ≈2,6 kPa pri granici 10,2 kPa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Donja ivica panela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≥1,20 m zbog snijega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+0,50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snijeg nije mjerodavan — vjetrom raznošena lokacija (bura)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s_k = 3,00 kN/m² mjerodavno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provjera obavezna, ali nije mjerodavna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iskustvo Investitora na lokaciji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Konfiguracija nosača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2 nosača, 6 modula (2×3), +0,50/+3,74 m, 15,91 m² izloženosti/nosaču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 nosača, 4 modula (2×2), +1,50/+4,74 m, 10,55 m² izloženosti/nosaču — manji presjek dozvoljava veću visinu bez povećanja opterećenja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review/07-calculations.md F.6 — custom izrada, kataloški nosač ne zadovoljava ni pri ranijoj ni pri ovoj konfiguraciji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Raspored otvora ventilacije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sve na SJEVERNOJ strani kontejnera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ukrsni tok: usis JUG, kanal i izduv ZAPAD, oduška SJEVER, ventilator ISTOK (Tačka 4.3)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usis, izlaz i izduv na istom zidu na 1,4 m recirkulišu i griju postojeće vanjske ormare (nalaz EL RED-03)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Spremnik goriva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1200 × 700 × 800 mm (procjena)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1050 × 600 × 1310 mm, 170 kg prazan / ≈590 kg pun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podaci Investitora, 2026-08-11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Nosivost poda kontejnera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10,00 kN/m² prema tipskom proračunu kontejnera K3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2,00 kN/m² prema Projektnom zadatku — ram za raznošenje opterećenja OBAVEZAN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lokacija je kontejner tipa K2; K3 proračun nije mjerodavan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Sistem napajanja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MTS9302 / PowerCube 1000 (različito u dokumentima)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Huawei ICC330-H1 + MTS9302 (postojeći vanjski ormari)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lokacije i crteži S-01/S-02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Beton temelja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C25 na podlozi C10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C30/37, XC4 + XF3, aerant 4–6 % na podlozi C12/15; armatura B500B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izloženost mrazu i solima na 1076 m n.v., BAS EN 206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Prvo punjenje gorivom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ranije: najmanje 200 l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500 l (pun spremnik)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usklađeno sa Predmjerom, stavka 4.16</w:t>
            </w:r>
          </w:p>
        </w:tc>
      </w:tr>
    </w:tbl>
    <w:p/>
    <w:p>
      <w:pPr>
        <w:pStyle w:val="Heading1"/>
      </w:pPr>
      <w:r>
        <w:t>1. Osnovni podaci o lokaciji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Lokacija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BS Sjednica, Bileća, Republika Srpska, BiH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Koordinate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42,9448° N · 18,3236° 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Nadmorska visina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1076 m n.v.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Priključak na EES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NE — lokacija nije priključena na elektroenergetsku mrežu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Potrošnja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1180 W nazivno / 1330 W maksimalno, −48 V DC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Zakupljena parcela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≈150 m² (16,00 × 9,40 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plato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AB ploča 5,40 × 5,40 m, ograda h = 1,90 m, kapija 1,00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Antenski stub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rešetkasti, h = 38 m, baza 4,20 × 4,20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3,005 × 2,30 m vanjski, zidni paneli 60 mm, PRAZAN; ulazna vrata 900 × 2000 mm na ISTOČNOM zidu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Nosivost poda kontejnera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2,00 kN/m² prema Projektnom zadatku — mjerodavno za dimenzionisanje rama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sistem napajanja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ICC330-H1 + MTS9302, vanjski ormari uz SJEVERNI zid kontejnera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Uzemljenje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postojeći prstenasti uzemljivač Fe/Zn 25 × 4 mm</w:t>
            </w:r>
          </w:p>
        </w:tc>
      </w:tr>
    </w:tbl>
    <w:p/>
    <w:p>
      <w:pPr>
        <w:pStyle w:val="Heading2"/>
      </w:pPr>
      <w:r>
        <w:t>1.1 Klimatski i geotehnički uslovi (MJERODAVNO)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fill="F2F2F2"/>
          </w:tcPr>
          <w:p>
            <w:r/>
            <w:r>
              <w:rPr>
                <w:b/>
                <w:sz w:val="17"/>
              </w:rPr>
              <w:t>Uticaj</w:t>
            </w:r>
          </w:p>
        </w:tc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Projektna vrijednost</w:t>
            </w:r>
          </w:p>
        </w:tc>
        <w:tc>
          <w:tcPr>
            <w:tcW w:type="dxa" w:w="4649"/>
            <w:shd w:fill="F2F2F2"/>
          </w:tcPr>
          <w:p>
            <w:r/>
            <w:r>
              <w:rPr>
                <w:b/>
                <w:sz w:val="17"/>
              </w:rPr>
              <w:t>Napomena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Vjetar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ovjereni projekat lokacije i BAS EN 1991-1-4 + BiH NA, sa orografijom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prema BAS EN 1991-1-3 + BiH NA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provjera obavezna; nije mjerodavan zbog raznošenja vjetrom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Led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radijalni 20 mm, gustina 300 kg/m³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izloženi planinski vrh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Temperatura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−25 °C do +50 °C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radni opseg opreme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Gustina zraka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1,04–1,09 kg/m³ na 1076 m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derating agregata i dimenzionisanje ventilacije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Tlo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kamenito (krš); nosivost ≥100 kPa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potvrđuje geomehaničkim uvidom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Smrzavanje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temeljna spojnica ispod dubine smrzavanja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navodi usvojenu dubinu</w:t>
            </w:r>
          </w:p>
        </w:tc>
      </w:tr>
    </w:tbl>
    <w:p/>
    <w:p>
      <w:pPr>
        <w:pStyle w:val="Heading1"/>
      </w:pPr>
      <w:r>
        <w:t>2. Referentni standardi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Oblast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Standardi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Osnove proračuna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Dejstva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1991-1-3 (snijeg), BAS EN 1991-1-4 (vjetar), sa BiH NA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Beton 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1992-1-1, BAS EN 1993-1-1, BAS EN 206, EN 10025-2, EN 10219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Geotehnika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1997-1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Izrada čeličnih konstrukcija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1090-1, EN 1090-2 (EXC2)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ISO 1461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Elektroinstalacije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60364 (posebno 60364-4-41), BAS EN 60529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Gromobranska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62305-1 do -4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Prenaponska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61643-11, EN 61643-21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Fotonaponski sistemi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62548, IEC 62852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Agregati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ISO 8528-1, ISO 8528-3, ISO 3046-1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požara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važeći propisi RS/BiH; elaborat zaštite od požara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Dokumentacija proizvođača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Huawei PV Module Solution User Manual; Huawei GroundSupport; FG Wilson P22-6 (Skid) TDS 2019-08-14</w:t>
            </w:r>
          </w:p>
        </w:tc>
      </w:tr>
    </w:tbl>
    <w:p/>
    <w:p>
      <w:pPr>
        <w:pStyle w:val="Heading1"/>
      </w:pPr>
      <w:r>
        <w:t>3. LOT 1 — Nosači fotonaponskih panela</w:t>
      </w:r>
    </w:p>
    <w:p>
      <w:pPr>
        <w:pStyle w:val="Heading2"/>
      </w:pPr>
      <w:r>
        <w:t>3.1 Konfiguracija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nosača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 kom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Moduli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12 × 585 Wp = 7,02 kWp; 4 modula po nosaču, 2 reda × 2 stupca, portret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Tip modula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iPV585-M2A (2278 × 1134 × 30 mm) ili ekvivalent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Nagib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fiksno 45° — ZADRŽAN zbog decembarskog prinosa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Azimut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180° (JUG)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Širina polja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2305 mm (poprečna greda 2918 mm, bočni prepust 306,5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Dužina polja po nagibu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4576 mm (2 × 2278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Horizontalna projekcija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3236 mm pri 45°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Donja / gornja ivica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+1,50 m / +4,74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Nadvišenje ograde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2,84 m iznad kote ograde h = 1,90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Referentna izvedba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CUSTOM IZRADA čeličnog nosača po opterećenju iz Tačke 3.2 — nijedan kataloški proizvod (npr. Huawei Standard A-shaped Support 3.0) ne zadovoljava opterećenje vjetrom na ovoj lokaciji ni pri ovoj, manjoj površini nosača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Obrazloženje nagiba 45°: pri podnevnoj visini Sunca 23,6° na dan 21.12. i geografskoj širini 42,94°, nagib 45° ostvaruje 93 % direktnog zračenja, naspram 85 % pri 35° i 75 % pri 25°. Decembar je mjerodavni mjesec za dimenzionisanje autonomnog sistema (proizvodnja 560–600 kWh naspram potrošnje 878 kWh), zbog čega se godišnji prinos ne uzima kao kriterij.</w:t>
      </w:r>
    </w:p>
    <w:p>
      <w:pPr>
        <w:pStyle w:val="Heading2"/>
      </w:pPr>
      <w:r>
        <w:t>3.2 Projektna opterećenja konstrukcije (OBAVEZNO)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OSNOVA PRORAČUNA: kataloški nosač tipa A ima deklarisanu otpornost 31 m/s (0,52 kN/m²) pri nagibu 45° i 40 m/s (0,87 kN/m²) pri 15°/25°, što je ISPOD opterećenja ovog lokaliteta — i pri punoj (2×6) i pri ovoj, manjoj (3×4) površini nosača. Zahtijeva se CUSTOM IZRADA konstrukcije dimenzionisane i dokazane za stvarno opterećenje lokaliteta (Tačka 3.1); kataloški proizvod se ne prihvata kao osnovna ponuda.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350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Pritisak vjetra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Koeficijent sile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cf ≥ 1,5 pri 45° prema EN 1991-1-4 §7.3, osim uz dokaz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Sila podizanja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≥18,1 kN (GSN, γQ = 1,5 / γG,fav = 0,9)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Horizontalna sila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≥13,4 kN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Moment prevrtanja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≥62,8 kNm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Mjerodavno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podizanje (uplift) i prevrtanje, a NE nosivost tla</w:t>
            </w:r>
          </w:p>
        </w:tc>
      </w:tr>
    </w:tbl>
    <w:p/>
    <w:p>
      <w:pPr>
        <w:pStyle w:val="Heading2"/>
      </w:pPr>
      <w:r>
        <w:t>3.3 Materijal i izrada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S275JR (S355JR za stubove) prema EN 10025-2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Profili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šuplji profili prema EN 10219; stubovi min. RHS 80 × 80 × 4, rigle min. RHS 60 × 40 × 3, ili presjek sa dokazano najmanje jednakim otpornim momentom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vruće cinčanje prema EN ISO 1461, min. 70 µm lokalno / 85 µm srednje (C4)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Zavarivanje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1090-2, klasa izvedbe EXC2; zavarivači prema EN ISO 9606-1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Označavanje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CE i izjava o svojstvima prema EN 1090-1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vijci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M16 klase 8.8, cinčani, prema EN 15048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Pričvršćenje modula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nehrđajući A2/A4; stezaljke za debljinu modula 30 mm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krađe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antitheft matice na stezaljkama modula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Moment pritezanja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prema uputstvu proizvođača (45 N·m za Huawei)</w:t>
            </w:r>
          </w:p>
        </w:tc>
      </w:tr>
    </w:tbl>
    <w:p/>
    <w:p>
      <w:pPr>
        <w:pStyle w:val="Heading2"/>
      </w:pPr>
      <w:r>
        <w:t>3.4 Sidrenje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hemijski (epoksidni/vinilesterski) anker M16 ili M20, sa ETA odobrenjem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Materijal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vruće cinčan ili nehrđajući A4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Broj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min. 2 ankera po temeljnoj traci, odnosno 4 po nosaču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Nosivost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karakteristična sila čupanja ≥30 kN po ankeru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ugradnje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prema ETA za konkretnu podlogu (beton / stijena)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Projektna sila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ukupno podizanje po nosaču ≥18,1 kN; sila po traci od momenta prevrtanja ≥39,3 kN pri razmaku traka 1600 mm — ovo je mjerodavno opterećenje za sidrenje, ne ukupno podizanje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Dokazivanje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ispitivanje čupanjem na ≥10 % ugrađenih ankera, min. 2 po nosaču, do 1,5 × projektne sile, uz zapisnik ovjeren od nadzornog organa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Alternativa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livena U-sidra M16/320 dozvoljena SAMO uz gravitacioni temelj ≥0,75 m³ po nosaču — momenat prevrtanja i dalje zahtijeva provjeru lokalnog istezanja trake, ne samo ukupne mase</w:t>
            </w:r>
          </w:p>
        </w:tc>
      </w:tr>
    </w:tbl>
    <w:p/>
    <w:p>
      <w:pPr>
        <w:pStyle w:val="Heading2"/>
      </w:pPr>
      <w:r>
        <w:t>3.5 Temelji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C30/37, klasa izloženosti XC4 + XF3, aerant 4–6 %, Dmax 16,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Podložni 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C12/15, d = 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Armatura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B500B, zaštitni sloj ≥50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Geometrija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2 trake po nosaču (×3 nosača = 6 traka ukupno), min. 450 mm široke × 3300 mm duge, razmak 1600 mm, pravac SJEVER–JUG; dubina prema statičkom proračunu (≥900 mm)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Smještaj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IZVAN ograđenog platoa, 400 mm južno od kote ograde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smrzavanja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temeljna spojnica ispod dubine smrzavanja; Ponuđač navodi vrijednost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NAPOMENA: postojeća AB ploča 5,40 × 5,40 m već postoji i NIJE predmet ovog LOT-a.</w:t>
      </w:r>
    </w:p>
    <w:p>
      <w:pPr>
        <w:pStyle w:val="Heading2"/>
      </w:pPr>
      <w:r>
        <w:t>3.6 Uzemljenje (LOT 1)</w:t>
      </w:r>
    </w:p>
    <w:p>
      <w:pPr>
        <w:pStyle w:val="ListBullet"/>
        <w:spacing w:after="40"/>
      </w:pPr>
      <w:r>
        <w:rPr>
          <w:sz w:val="19"/>
        </w:rPr>
        <w:t>povezivanje sva tri nosača na postojeći prstenasti uzemljivač Fe/Zn 25 × 4 mm</w:t>
      </w:r>
    </w:p>
    <w:p>
      <w:pPr>
        <w:pStyle w:val="ListBullet"/>
        <w:spacing w:after="40"/>
      </w:pPr>
      <w:r>
        <w:rPr>
          <w:sz w:val="19"/>
        </w:rPr>
        <w:t>vodič: bakarno uže ≥50 mm² prema EN 62305-3, Tabela 7, otporno na UV i ukopavanje — NIJE dozvoljen H07V-K 25 mm² (unutrašnji instalacioni vodič)</w:t>
      </w:r>
    </w:p>
    <w:p>
      <w:pPr>
        <w:pStyle w:val="ListBullet"/>
        <w:spacing w:after="40"/>
      </w:pPr>
      <w:r>
        <w:rPr>
          <w:sz w:val="19"/>
        </w:rPr>
        <w:t>bimetalni (Cu/Fe-Zn) ukrsni komadi radi sprječavanja galvanske korozije</w:t>
      </w:r>
    </w:p>
    <w:p>
      <w:pPr>
        <w:pStyle w:val="ListBullet"/>
        <w:spacing w:after="40"/>
      </w:pPr>
      <w:r>
        <w:rPr>
          <w:sz w:val="19"/>
        </w:rPr>
        <w:t>kontinuitet spojeva ≤0,1 Ω; ukupni otpor uzemljenja ≤10 Ω</w:t>
      </w:r>
    </w:p>
    <w:p>
      <w:pPr>
        <w:pStyle w:val="ListBullet"/>
        <w:spacing w:after="40"/>
      </w:pPr>
      <w:r>
        <w:rPr>
          <w:sz w:val="19"/>
        </w:rPr>
        <w:t>DC kablovi na razmaku ≥0,5 m od odvoda gromobranske instalacije</w:t>
      </w:r>
    </w:p>
    <w:p>
      <w:pPr>
        <w:pStyle w:val="Heading1"/>
      </w:pPr>
      <w:r>
        <w:t>4. LOT 2 — Dizel električni agregat i instalacije</w:t>
      </w:r>
    </w:p>
    <w:p>
      <w:pPr>
        <w:pStyle w:val="Heading2"/>
      </w:pPr>
      <w:r>
        <w:t>4.1 Agregat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 / referentna 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Snaga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22 kVA / 17,6 kW standby (20 kVA / 16 kW prime), 400/230 V, 50 Hz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Referentni tip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FG Wilson P22-6 (Skid) ili ekvivalent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Motor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Perkins 404D-22G ili ekvivalent, 4-cilindarski, 1500 o/min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Izvedba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skid, za ugradnju u postojeći kontejner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Dimenzije skida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1550 × 620 × 1020 mm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378 kg suho / 385 kg mokro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Derating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dokazati za 1076 m n.v. i temperaturu do +40 °C prema ISO 3046-1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Pobuda (OBAVEZNO)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nezavisna pobuda — PMG ili AREP/AUX namotaj; trajna struja kratkog spoja ≥3 × In (≈95 A) u trajanju ≥10 s prema ISO 8528-3. Standardna SHUNT pobuda NIJE prihvatljiva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Antivibracioni elementi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sopstvena frekvencija ≤8 Hz; fleksibilni priključci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Potrošnja goriva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5,9 l/h pri 100 % standby → autonomija ≈85 h na 500 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11999" cy="27323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sid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1999" cy="2732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1 — Dizel električni agregat 22 kVA u skid izvedbi, bočni izgled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2528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fro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252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2 — Agregat, čeoni izgled sa strane hladnjaka (ilustrativno)</w:t>
            </w:r>
          </w:p>
        </w:tc>
      </w:tr>
    </w:tbl>
    <w:p/>
    <w:p>
      <w:pPr>
        <w:pStyle w:val="Heading2"/>
      </w:pPr>
      <w:r>
        <w:t>4.2 Spremnik goriva</w:t>
      </w:r>
    </w:p>
    <w:p>
      <w:pPr>
        <w:pStyle w:val="ListBullet"/>
        <w:spacing w:after="40"/>
      </w:pPr>
      <w:r>
        <w:rPr>
          <w:sz w:val="19"/>
        </w:rPr>
        <w:t>dvoplašni, zapremine 500 l, sa sondom za detekciju curenja</w:t>
      </w:r>
    </w:p>
    <w:p>
      <w:pPr>
        <w:pStyle w:val="ListBullet"/>
        <w:spacing w:after="40"/>
      </w:pPr>
      <w:r>
        <w:rPr>
          <w:sz w:val="19"/>
        </w:rPr>
        <w:t>referentne dimenzije 1050 × 600 × 1310 mm, masa prazan 170 kg — pun ≈590 kg na 0,63 m² = 9,2 kN/m², što prekoračuje projektnu nosivost poda 2,00 kN/m²: OBAVEZAN je čelični ram/roštilj za raznošenje opterećenja i pod tankvanom, dokazan statičkim proračunom</w:t>
      </w:r>
    </w:p>
    <w:p>
      <w:pPr>
        <w:pStyle w:val="ListBullet"/>
        <w:spacing w:after="40"/>
      </w:pPr>
      <w:r>
        <w:rPr>
          <w:sz w:val="19"/>
        </w:rPr>
        <w:t>tankvana / sekundarna zaštita zapremine ≥110 % (550 l), referentno 1600 × 1060 mm, visina ruba 330 mm</w:t>
      </w:r>
    </w:p>
    <w:p>
      <w:pPr>
        <w:pStyle w:val="ListBullet"/>
        <w:spacing w:after="40"/>
      </w:pPr>
      <w:r>
        <w:rPr>
          <w:sz w:val="19"/>
        </w:rPr>
        <w:t>vanjski priključak za punjenje sa zaštitom od statičkog elektriciteta i sprječavanjem prelijevanja</w:t>
      </w:r>
    </w:p>
    <w:p>
      <w:pPr>
        <w:pStyle w:val="ListBullet"/>
        <w:spacing w:after="40"/>
      </w:pPr>
      <w:r>
        <w:rPr>
          <w:sz w:val="19"/>
        </w:rPr>
        <w:t>odušna cijev izvan kontejnera, sa plamenobranom, udaljena ≥3 m od izduva i usisa zraka</w:t>
      </w:r>
    </w:p>
    <w:p>
      <w:pPr>
        <w:pStyle w:val="ListBullet"/>
        <w:spacing w:after="40"/>
      </w:pPr>
      <w:r>
        <w:rPr>
          <w:sz w:val="19"/>
        </w:rPr>
        <w:t>protupožarni ventil na izlazu iz spremnika (topljivi osigurač ili solenoid), aktiviran požarom i E-STOP-om</w:t>
      </w:r>
    </w:p>
    <w:p>
      <w:pPr>
        <w:pStyle w:val="ListBullet"/>
        <w:spacing w:after="40"/>
      </w:pPr>
      <w:r>
        <w:rPr>
          <w:sz w:val="19"/>
        </w:rPr>
        <w:t>sifon protiv povratnog toka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6603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si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6603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3 — Spremnik goriva 500 l, bočni izgled sa pretakačkom opremom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96000" cy="2029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to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2029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4 — Spremnik goriva 500 l, izgled odozgo sa priključcima (ilustrativno)</w:t>
            </w:r>
          </w:p>
        </w:tc>
      </w:tr>
    </w:tbl>
    <w:p/>
    <w:p>
      <w:pPr>
        <w:pStyle w:val="Heading2"/>
      </w:pPr>
      <w:r>
        <w:t>4.3 Ventilacija i hlađenje</w:t>
      </w:r>
    </w:p>
    <w:p>
      <w:pPr>
        <w:spacing w:after="80"/>
      </w:pPr>
      <w:r>
        <w:rPr>
          <w:b w:val="0"/>
          <w:i/>
          <w:sz w:val="18"/>
        </w:rPr>
        <w:t>Dimenzionisano prema tehničkom listu proizvođača. Mjerodavno ograničenje je maksimalni vanjski otpor strujanju zraka od 125 Pa, a NE brzina izmjene zraka u prostoriji.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1980 m³/h (33 m³/min) — ostvaruje vlastiti ventilator hladnjaka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za sagorijevanje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90 m³/h; max. otpor usisa 3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vanjski otpor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125 Pa (ukupno: usis + kanal + izlaz)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Toplota u prostor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7,1 kW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500 × 700 mm (v ≈ 3,4 m/s, Δp ≈ 16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Kanal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limeni kanal ≈6 m², od pocinčanog lima d = 1 mm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Izlazna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600 × 600 mm (Δp ≈ 15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1200 m³/h, Ø315, termostat, blokiran sa radom agregata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pada pritiska ukupne putanje</w:t>
            </w:r>
          </w:p>
        </w:tc>
      </w:tr>
    </w:tbl>
    <w:p/>
    <w:p>
      <w:pPr>
        <w:spacing w:after="80"/>
      </w:pPr>
      <w:r>
        <w:rPr>
          <w:b/>
          <w:i w:val="0"/>
          <w:sz w:val="19"/>
        </w:rPr>
        <w:t>Raspored otvora (OBAVEZNO — prema crtežu M-01, Prilog III)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75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236"/>
            <w:shd w:fill="F2F2F2"/>
          </w:tcPr>
          <w:p>
            <w:r/>
            <w:r>
              <w:rPr>
                <w:b/>
                <w:sz w:val="17"/>
              </w:rPr>
              <w:t>Zid i položaj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Usisna žaluzina 500 × 700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JUŽNI zid, istočni kraj; donja ivica +0,30 m od poda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Kanal hladnjaka + izlazna žaluzina 600 × 600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ZAPADNI zid, na osi radijatora agregata; kanal najkraćim putem od radijatora kroz zid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Izduvni sistem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uz ZAPADNI zid, završetak iznad krova (Tačka 4.4)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Odušna cijev spremnika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SJEVERNI zid, istočni kraj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Ventilator prostora Ø315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ISTOČNI zid, gore (donja ivica ≈+1,75 m), sjeverno od ulaznih vrata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Minimalna razdaljina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≥3 m prostorno između usisa zraka, izduva i odušne cijevi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1156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yout_m0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1156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5 — Raspored opreme i otvora u kontejneru: ukrsni tok zraka (usis JUG → agregat → izlaz ZAPAD). Izvod iz crteža M-01, Prilog III</w:t>
            </w:r>
          </w:p>
        </w:tc>
      </w:tr>
    </w:tbl>
    <w:p/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Otvori se izvode kroz ZIDNE PANELE kontejnera, a NE kroz ulazna vrata. Raspored je ukrsni (usis JUG → agregat → izlaz ZAPAD) i obavezujući: nije dozvoljeno izvesti usis, izlaz i izduv na istom zidu, niti usmjeriti izlaz toplog zraka ili izduv prema SJEVERNOJ strani, gdje se nalaze postojeći vanjski ormari ICC330-H1 i MTS9302. Svaki drugačiji raspored Ponuđač mora dokazati proračunom recirkulacije i temperaturnog uticaja i dobiti pisanu saglasnost Kupca.</w:t>
      </w:r>
    </w:p>
    <w:p>
      <w:pPr>
        <w:pStyle w:val="Heading2"/>
      </w:pPr>
      <w:r>
        <w:t>4.4 Izduvni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Protok izduvnih gasova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234 m³/h (3,9 m³/min) pri 505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dozvoljeni protutlak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10,2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Prečnik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DN 65 — USVOJENO (Predmjer, stavka 4.11). DN 50 zadovoljava protutlak (≈2,6 kPa prema granici 10,2 kPa), ali radi pri 33 m/s, iznad uobičajenih 30 m/s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Prigušivač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industrijski; hvatač iskri obavezan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Fleksibilni priključak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neposredno iza motora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Izolacija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kamena vuna d = 50 mm + Al lim; boja otporna na 600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Trasa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uspon uz ZAPADNI zid kontejnera (v. Tačku 4.3 i crtež M-01)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Završetak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iznad krova, usmjeren naviše, ≥3 m od usisa zraka i odušne cijevi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protutlaka</w:t>
            </w:r>
          </w:p>
        </w:tc>
      </w:tr>
    </w:tbl>
    <w:p/>
    <w:p>
      <w:pPr>
        <w:pStyle w:val="Heading2"/>
      </w:pPr>
      <w:r>
        <w:t>4.5 Elektroinstalacije i zaštita (OBAVEZNO)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KRITIČNO — POBUDA GENERATORA. Referentni agregat je u standardnoj izvedbi SHUNT pobude, za koju tehnički list proizvođača deklariše trajnu struju kratkog spoja 0 % (nezavisna pobuda PMG / AUX je opcija). Kod SHUNT pobude napon na stezaljkama se pri kvaru uruši, pobuda nestaje, a trajna struja kvara padne na ≈0,5 × In — ISPOD nazivne struje, pa ne može aktivirati nijednu prekostrujnu zaštitu. Zbog toga se zahtijeva NEZAVISNA POBUDA (PMG ili AREP/AUX) sa 3 × In u trajanju ≥10 s (Tačka 4.1), a zaštita zaštitnom strujnom sklopkom ostaje OBAVEZNA kao drugi nivo zaštite.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(SHUNT)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prvi poluperiod 407 A (12,8 × In, X"d = 0,078) → prelazna 205 A (6,5 × In) → TRAJNA 16 A (0,5 × In, Xd = 1,938) — ne aktivira zaštitu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(PMG/AREP)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≥95 A (3 × In) trajno ≥10 s — ZAHTIJEVANO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Sistem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TN-S, jedinstvena tačka spajanja N i PE u novom GRO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Glavna zaštita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RCD 63 A / 300 mA, S-tip (selektivna)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Krajnji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 × RCBO 16 A / 30 mA, tip A (utičnice, rasvjeta)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Nazivna struja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 = 31,75 A pri 22 kVA / 400 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Sklopka izvora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63 A, položaji 1 – agregat / 0 – isključeno / 2 – rezerva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AC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1 + 2 (Iimp ≥12,5 kA) — objekat ima vanjski LPS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DC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2 po stringu (Iimp ≥5 kA, Ucpv ≥425 V), na PVDB i na polju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signalni vodovi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prema EN 61643-21 — OBAVEZNO (stub h = 38 m)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Postojeći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snimiti stanje i prevezati svih 7 postojećih krugova u novi GRO; signalna rasvjeta prepreke antenskog stuba (K7) na zasebnom nadziranom krugu, sa signalizacijom ispada u sistem daljinskog nadzora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bezhalogeni, CPR ≥ Cca-s1b,d1,a1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H1Z2Z2-K 6 mm²; priključak na iSSU presjekom 4 mm²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≤10 Ω</w:t>
            </w:r>
          </w:p>
        </w:tc>
      </w:tr>
    </w:tbl>
    <w:p/>
    <w:p>
      <w:pPr>
        <w:pStyle w:val="Heading2"/>
      </w:pPr>
      <w:r>
        <w:t>4.6 Upravljanje i nadzor</w:t>
      </w:r>
    </w:p>
    <w:p>
      <w:pPr>
        <w:pStyle w:val="ListBullet"/>
        <w:spacing w:after="40"/>
      </w:pPr>
      <w:r>
        <w:rPr>
          <w:sz w:val="19"/>
        </w:rPr>
        <w:t>start agregata prema stanju napunjenosti baterija (SoC), a ne prema ispadu mreže — lokacija nije priključena na EES</w:t>
      </w:r>
    </w:p>
    <w:p>
      <w:pPr>
        <w:pStyle w:val="ListBullet"/>
        <w:spacing w:after="40"/>
      </w:pPr>
      <w:r>
        <w:rPr>
          <w:sz w:val="19"/>
        </w:rPr>
        <w:t>ograničenje ulazne snage ispravljača radi sprječavanja preopterećenja agregata</w:t>
      </w:r>
    </w:p>
    <w:p>
      <w:pPr>
        <w:pStyle w:val="ListBullet"/>
        <w:spacing w:after="40"/>
      </w:pPr>
      <w:r>
        <w:rPr>
          <w:sz w:val="19"/>
        </w:rPr>
        <w:t>prijenos alarma u sistem daljinskog nadzora: rad agregata, kvar, nivo goriva, curenje goriva, požar, temperatura prostora</w:t>
      </w:r>
    </w:p>
    <w:p>
      <w:pPr>
        <w:pStyle w:val="ListBullet"/>
        <w:spacing w:after="40"/>
      </w:pPr>
      <w:r>
        <w:rPr>
          <w:sz w:val="19"/>
        </w:rPr>
        <w:t>komunikacioni modul kompatibilan sa postojećim sistemom napajanja</w:t>
      </w:r>
    </w:p>
    <w:p>
      <w:pPr>
        <w:pStyle w:val="Heading2"/>
      </w:pPr>
      <w:r>
        <w:t>4.7 Zaštita od požara (OBAVEZNO)</w:t>
      </w:r>
    </w:p>
    <w:p>
      <w:pPr>
        <w:pStyle w:val="ListBullet"/>
        <w:spacing w:after="40"/>
      </w:pPr>
      <w:r>
        <w:rPr>
          <w:sz w:val="19"/>
        </w:rPr>
        <w:t>elaborat zaštite od požara za prostor sa 500 l dizel goriva — prije izvođenja</w:t>
      </w:r>
    </w:p>
    <w:p>
      <w:pPr>
        <w:pStyle w:val="ListBullet"/>
        <w:spacing w:after="40"/>
      </w:pPr>
      <w:r>
        <w:rPr>
          <w:sz w:val="19"/>
        </w:rPr>
        <w:t>detekcija: dimni i termički detektori; detekcija CO i NO₂</w:t>
      </w:r>
    </w:p>
    <w:p>
      <w:pPr>
        <w:pStyle w:val="ListBullet"/>
        <w:spacing w:after="40"/>
      </w:pPr>
      <w:r>
        <w:rPr>
          <w:sz w:val="19"/>
        </w:rPr>
        <w:t>automatsko gašenje sredstvom za klasu B, sa blokadom ventilacije pri aktivaciji</w:t>
      </w:r>
    </w:p>
    <w:p>
      <w:pPr>
        <w:pStyle w:val="ListBullet"/>
        <w:spacing w:after="40"/>
      </w:pPr>
      <w:r>
        <w:rPr>
          <w:sz w:val="19"/>
        </w:rPr>
        <w:t>protupožarni ventil na izlazu iz spremnika</w:t>
      </w:r>
    </w:p>
    <w:p>
      <w:pPr>
        <w:pStyle w:val="ListBullet"/>
        <w:spacing w:after="40"/>
      </w:pPr>
      <w:r>
        <w:rPr>
          <w:sz w:val="19"/>
        </w:rPr>
        <w:t>E-STOP izvan kontejnera pored ulaznih vrata, prema ISO 13850 kategorija 0</w:t>
      </w:r>
    </w:p>
    <w:p>
      <w:pPr>
        <w:pStyle w:val="ListBullet"/>
        <w:spacing w:after="40"/>
      </w:pPr>
      <w:r>
        <w:rPr>
          <w:sz w:val="19"/>
        </w:rPr>
        <w:t>oznake opasnosti, zabrana pušenja, oznaka kapaciteta goriva</w:t>
      </w:r>
    </w:p>
    <w:p>
      <w:pPr>
        <w:pStyle w:val="ListBullet"/>
        <w:spacing w:after="40"/>
      </w:pPr>
      <w:r>
        <w:rPr>
          <w:sz w:val="19"/>
        </w:rPr>
        <w:t>najmanje dva aparata za gašenje odgovarajuće klase</w:t>
      </w:r>
    </w:p>
    <w:p>
      <w:pPr>
        <w:spacing w:after="80"/>
      </w:pPr>
      <w:r>
        <w:rPr>
          <w:b w:val="0"/>
          <w:i/>
          <w:sz w:val="18"/>
        </w:rPr>
        <w:t>Elaborat zaštite od požara, protupožarni ventil na spremniku i blokada ventilacije pri aktivaciji gašenja zasebno su iskazani u Predmjeru (Prilog II, LOT 2) i ulaze u cijenu ponude.</w:t>
      </w:r>
    </w:p>
    <w:p>
      <w:pPr>
        <w:pStyle w:val="Heading1"/>
      </w:pPr>
      <w:r>
        <w:t>5. Dokazi koji se dostavljaju UZ PONUDU (uslov kvalifikacije)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Ponuda koja ne sadrži dokaze označene kao OBAVEZNI smatra se neprihvatljivom. Dokazi se NE dostavljaju naknadno, nakon dodjele ugovora.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680"/>
            <w:shd w:fill="F2F2F2"/>
          </w:tcPr>
          <w:p>
            <w:r/>
            <w:r>
              <w:rPr>
                <w:b/>
                <w:sz w:val="17"/>
              </w:rPr>
              <w:t>Br.</w:t>
            </w:r>
          </w:p>
        </w:tc>
        <w:tc>
          <w:tcPr>
            <w:tcW w:type="dxa" w:w="5443"/>
            <w:shd w:fill="F2F2F2"/>
          </w:tcPr>
          <w:p>
            <w:r/>
            <w:r>
              <w:rPr>
                <w:b/>
                <w:sz w:val="17"/>
              </w:rPr>
              <w:t>Dokaz</w:t>
            </w:r>
          </w:p>
        </w:tc>
        <w:tc>
          <w:tcPr>
            <w:tcW w:type="dxa" w:w="907"/>
            <w:shd w:fill="F2F2F2"/>
          </w:tcPr>
          <w:p>
            <w:r/>
            <w:r>
              <w:rPr>
                <w:b/>
                <w:sz w:val="17"/>
              </w:rPr>
              <w:t>LOT</w:t>
            </w:r>
          </w:p>
        </w:tc>
        <w:tc>
          <w:tcPr>
            <w:tcW w:type="dxa" w:w="2381"/>
            <w:shd w:fill="F2F2F2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Statički proračun nosive konstrukcije i temelja za qp ≥ 1,20 kN/m² pri 45°, ovjeren i potpisan od ovlaštenog inženjera, sa dokazom na podizanje i prevrtanje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Radionički crteži konstrukcije i temelja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Izjava o svojstvima prema EN 1090-1 i klasa izvedbe EXC2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Atesti materijala (čelik) i potvrda o vrućem cinčanju (debljina sloja)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ETA odobrenje ponuđenih hemijskih ankera sa proračunom nosivosti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Tehnički list (TDS) ponuđenog agregata sa podacima o hlađenju, izduvu i masama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ventilacije sa padom pritiska ukupne putanje (≤125 Pa)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protutlaka izduvnog sistema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nosivosti poda kontejnera za skid i pun spremnik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Jednopolna shema novog GRO sa zaštitnim uređajima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Ovlaštenje proizvođača ili ovlaštenog distributera za ponuđeni agregat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ISO 9001 i ISO 14001 proizvođača agregata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Kataloška dokumentacija sa označenim ponuđenim tipovima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1, 2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Akustički proračun, ako se zahtijeva nivo buke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 potrebi</w:t>
            </w:r>
          </w:p>
        </w:tc>
      </w:tr>
    </w:tbl>
    <w:p/>
    <w:p>
      <w:pPr>
        <w:pStyle w:val="Heading1"/>
      </w:pPr>
      <w:r>
        <w:t>6. Ispitivanja i puštanje u rad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fill="F2F2F2"/>
          </w:tcPr>
          <w:p>
            <w:r/>
            <w:r>
              <w:rPr>
                <w:b/>
                <w:sz w:val="17"/>
              </w:rPr>
              <w:t>Ispitivanje</w:t>
            </w:r>
          </w:p>
        </w:tc>
        <w:tc>
          <w:tcPr>
            <w:tcW w:type="dxa" w:w="6009"/>
            <w:shd w:fill="F2F2F2"/>
          </w:tcPr>
          <w:p>
            <w:r/>
            <w:r>
              <w:rPr>
                <w:b/>
                <w:sz w:val="17"/>
              </w:rPr>
              <w:t>Kriterij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≤10 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Kontinuitet zaštitnih vodiča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≤0,1 Ω po spoju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čupanja ankera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≥10 % ankera, do 1,5 × projektne sile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RCD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vrijeme i struja isključenja prema IEC 61008/61009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ventilacije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izmjereni pad pritiska ≤125 Pa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agregata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automatski start/stop, zaštite, alarmi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Probni rad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72 h neprekidnog rada sa simulacijom opterećenja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Mjerenje temperature prostora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pri radu agregata na nazivnom opterećenju</w:t>
            </w:r>
          </w:p>
        </w:tc>
      </w:tr>
    </w:tbl>
    <w:p/>
    <w:p>
      <w:pPr>
        <w:pStyle w:val="Heading1"/>
      </w:pPr>
      <w:r>
        <w:t>7. Garancija</w:t>
      </w:r>
    </w:p>
    <w:p>
      <w:pPr>
        <w:pStyle w:val="ListBullet"/>
        <w:spacing w:after="40"/>
      </w:pPr>
      <w:r>
        <w:rPr>
          <w:sz w:val="19"/>
        </w:rPr>
        <w:t>garantni period minimalno 24 mjeseca od zapisnika o primopredaji bez primjedbi</w:t>
      </w:r>
    </w:p>
    <w:p>
      <w:pPr>
        <w:pStyle w:val="ListBullet"/>
        <w:spacing w:after="40"/>
      </w:pPr>
      <w:r>
        <w:rPr>
          <w:sz w:val="19"/>
        </w:rPr>
        <w:t>postgarantni period minimalno 5 godina</w:t>
      </w:r>
    </w:p>
    <w:p>
      <w:pPr>
        <w:pStyle w:val="ListBullet"/>
        <w:spacing w:after="40"/>
      </w:pPr>
      <w:r>
        <w:rPr>
          <w:sz w:val="19"/>
        </w:rPr>
        <w:t>spisak preporučenih rezervnih dijelova za 500 h rada agregata</w:t>
      </w:r>
    </w:p>
    <w:p>
      <w:pPr>
        <w:pStyle w:val="ListBullet"/>
        <w:spacing w:after="40"/>
      </w:pPr>
      <w:r>
        <w:rPr>
          <w:sz w:val="19"/>
        </w:rPr>
        <w:t>dokumentacija izvedenog stanja i uputstva za pogon i održavanje</w:t>
      </w:r>
    </w:p>
    <w:p/>
    <w:p>
      <w:pPr>
        <w:jc w:val="right"/>
      </w:pPr>
      <w:r>
        <w:rPr>
          <w:sz w:val="18"/>
        </w:rPr>
        <w:t>Sačinio: Rusmir Skopljak, dipl. ing. el.</w:t>
        <w:br/>
        <w:t>Izvršna direkcija za tehnologiju i razvoj servisa</w:t>
        <w:br/>
        <w:t>BH Telecom d.d. Sarajevo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PRILOG I — Specifikacija zahtjeva · BS Sjednica (Bileća) · Rev. 1, 2026 · stranica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PAGE</w:instrText>
    </w:r>
    <w:r>
      <w:rPr>
        <w:color w:val="595959"/>
        <w:sz w:val="15"/>
      </w:rPr>
      <w:fldChar w:fldCharType="end"/>
    </w:r>
    <w:r>
      <w:rPr>
        <w:color w:val="595959"/>
        <w:sz w:val="15"/>
      </w:rPr>
      <w:t xml:space="preserve"> od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NUMPAGES</w:instrText>
    </w:r>
    <w:r>
      <w:rPr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92000" cy="55226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h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5226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F582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59595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9595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b/>
      <w:color w:val="F5821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/>
      <w:jc w:val="center"/>
    </w:pPr>
    <w:rPr>
      <w:rFonts w:asciiTheme="majorHAnsi" w:eastAsiaTheme="majorEastAsia" w:hAnsiTheme="majorHAnsi" w:cstheme="majorBidi" w:ascii="Arial" w:hAnsi="Arial"/>
      <w:b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