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PRILOG I TD</w:t>
      </w:r>
    </w:p>
    <w:p>
      <w:pPr>
        <w:pStyle w:val="Subtitle"/>
        <w:rPr/>
      </w:pPr>
      <w:r>
        <w:rPr/>
        <w:t xml:space="preserve">SPECIFIKACIJA ZAHTJEVA</w:t>
      </w:r>
    </w:p>
    <w:p>
      <w:pPr>
        <w:pStyle w:val="Normal"/>
        <w:jc w:val="center"/>
        <w:rPr/>
      </w:pPr>
      <w:r>
        <w:rPr>
          <w:color w:val="595959"/>
          <w:sz w:val="20"/>
        </w:rPr>
        <w:t xml:space="preserve">Autonomni hibridni sistem napajanja — SJEDNICA (Bileća)</w:t>
        <w:br/>
        <w:t xml:space="preserve">LOT 1: nosači fotonaponskih panela · LOT 2: dizel električni agregat u kontejneru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b w:val="false"/>
          <w:i w:val="false"/>
          <w:sz w:val="19"/>
        </w:rPr>
        <w:t xml:space="preserve">Ovaj Prilog utvrđuje tehničke zahtjeve i dokaze koje Ponuđač dostavlja UZ PONUDU kao uslov kvalifikacije — ponuda koja ih ne sadrži smatra se neprihvatljivom.Prilog se čita zajedno sa Prilogom II (Obrazac za cijenu ponude) i Prilogom III (Situacija, dispozicija i grafički prilozi).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bCs/>
          <w:sz w:val="19"/>
        </w:rPr>
      </w:pPr>
      <w:r>
        <w:rPr>
          <w:b/>
          <w:bCs/>
          <w:sz w:val="19"/>
        </w:rPr>
        <w:t xml:space="preserve">U slučaju neslaganja između dokumenata TD mjerodavni su redom: (1) Tenderska dokumentacija (TD), (2) Prilog I, (3) Prilog II (Predmjer), (4) Prilog III (grafički prilozi i referentna dokumentacija).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bCs/>
          <w:sz w:val="19"/>
        </w:rPr>
      </w:pPr>
      <w:r>
        <w:rPr>
          <w:b/>
          <w:bCs/>
          <w:sz w:val="19"/>
        </w:rPr>
        <w:t xml:space="preserve">Prilog III sadrži i preuzete stranice ranije dokumentacije, koje služe samo kao podloga; mjerodavan raspored opreme i otvora u kontejneru je onaj sa crteža M-01.</w:t>
      </w:r>
    </w:p>
    <w:p>
      <w:pPr>
        <w:pStyle w:val="Heading1"/>
        <w:rPr/>
      </w:pPr>
      <w:r>
        <w:rPr/>
        <w:t xml:space="preserve">1. Osnovni </w:t>
      </w:r>
      <w:r>
        <w:rPr/>
        <w:t xml:space="preserve">parametri lokaliteta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Vrijednost/</w:t>
            </w: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Opis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Lokacija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Sjednica, Bileća, BiH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Koordinate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42,9448° N · 18,3236° 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Nadmorska visina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1076 m n.v.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Priključak EES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Bilans potrošnje: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Konstantno,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1180 W nazivno / 1330 W maksimalno, −48 V DC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Zakupljeni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prostor: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≈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150 m² (16,00 × 9,40 m)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Postojeći objekat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AB ploča 5,40 × 5,40 m, ograda h = 2,10 m, kapija 1,00 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Antenski stub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rešetkasti, h = 38 m, baza 4,20 × 4,20 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Kontejner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3,00 × 2,30 m vanjski, zidni paneli 60 mm, bez opreme; ulazna vrata 900 × 2000 mm na ISTOČNOM zidu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Nosivost poda kontejnera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10,00 kN/m² ukupno (g+p), ravnomjerno raspodijeljeno — ovjereni projekat lokacije, „04 AG dio", tačka 4.4.2.3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Sistem napajanja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Huawei ICC360-HA1-C1 (PowerCube 1000) i MTS9302A, vanjski ormari smješteni uz SJEVERNI zid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/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kontejnera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Uzemljenje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postojeći prstenasti uzemljivač Fe/Zn 25 × 4 mm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1.1 Klimatski i geotehnički uslovi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Uticaj</w:t>
            </w:r>
          </w:p>
        </w:tc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Projektna vrijednost</w:t>
            </w:r>
          </w:p>
        </w:tc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Napomena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Vjetar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qp ≥ 1,20 kN/m² (udar 3 s ≈ 45 m/s)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ovjereni projekat lokacije i BAS EN 1991-1-4 + BiH NA, sa orografijom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Snijeg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prema BAS EN 1991-1-3 + BiH NA, Zona L1-L2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provjera obavezna; nije mjerodavan zbog raznošenja vjetrom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Led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radijalni 20 mm, gustina 300 kg/m³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izloženi planinski vrh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Temperatura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−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25 °C do +50 °C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radni opseg opreme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Gustina zraka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1,04–1,09 kg/m³ na 1076 m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derating agregata i dimenzionisanje ventilacije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Tlo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kamenito (krš); nosivost ≥100 kPa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Ponuđač potvrđuje geomehaničkim uvidom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Smrzavanje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temeljna spojnica ispod dubine smrzavanja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Ponuđač navodi usvojenu dubinu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 dnevniku/knjizi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2. Referentni standardi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Oblast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Standardi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Osnove proračuna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BAS EN 1990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Dejstva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BAS EN 1991-1-3 (snijeg), BAS EN 1991-1-4 (vjetar), sa BiH NA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Beton i čelik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BAS EN 1992-1-1, BAS EN 1993-1-1, BAS EN 206, EN 10025-2, EN 10219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Geotehnika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BAS EN 1997-1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Izrada čeličnih konstrukcija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EN 1090-1, EN 1090-2 (EXC2)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Antikorozivna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EN ISO 1461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Elektroinstalacije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IEC 60364 (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tj.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60364-4-41), BAS EN 60529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Gromobranska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EN 62305-1 do -4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Prenaponska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EN 61643-11, EN 61643-21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Fotonaponski sistemi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IEC 62548, IEC 62852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Agregati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ISO 8528-1, ISO 8528-3, ISO 3046-1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Zaštita od požara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važeći propisi RS/BiH; elaborat zaštite od požara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Dokumentacija proizvođača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opreme: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FG Wilson P18-6 (Skid) TDS 2019-08-14</w:t>
              <w:br/>
              <w:t xml:space="preserve">Huawei PV Module Solution User Manual;</w:t>
              <w:br/>
              <w:t xml:space="preserve">Huawei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MTS9300A Telecom Power Installation Guide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;</w:t>
              <w:br/>
              <w:t xml:space="preserve">Huawei ICC360-HA1-C1 (PowerCube 1000) Installation Guide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/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3. LOT 1 — Infrastruktura fotonaponskih panela</w:t>
      </w:r>
    </w:p>
    <w:p>
      <w:pPr>
        <w:pStyle w:val="Heading2"/>
        <w:rPr/>
      </w:pPr>
      <w:r>
        <w:rPr/>
        <w:t xml:space="preserve">3.1 Konfiguracija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83"/>
        <w:gridCol w:w="5056"/>
      </w:tblGrid>
      <w:tr>
        <w:trPr>
          <w:tblHeader w:val="true"/>
        </w:trPr>
        <w:tc>
          <w:tcPr>
            <w:tcW w:w="458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5056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PV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nosača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 kom ×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modula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PV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stringova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 stringa × 6 modula (Voc ≈309 V, Imp 13,67 A) — po jedan string na svaku od dvije rute PVDB ormara; string se prostire preko dva nosača (vidi crtež E-01)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 PV modula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12 × 585 Wp = 7,02 kWp; 4 modula po nosaču, 2 reda × 2 stupca, portret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Tip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PV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modula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Huawei iPV585-M2A (2278 × 1134 × 30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Nagib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fiksno 45°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Azimut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180° (JUG)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Širina PV polja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2305 mm (poprečna greda 2918 mm, bočni prepust 306,5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Dužina PV polja po nagibu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4576 mm (2 × 2278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Horizontalna projekcija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3236 mm pri 45°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Donja / gornja ivica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+0,50 m / +3,74 m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Nadvišenje ograde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1,64 m iznad kote ograde h = 2,10 m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Površina izloženosti vjetru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10,55 m² po nosaču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3.2 Projektna opterećenja konstrukcije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 xml:space="preserve">Izrada konstrukcije : Zahtijeva se CUSTOM IZRADA konstrukcije dimenzionisa</w:t>
      </w:r>
      <w:r>
        <w:rPr>
          <w:b/>
          <w:sz w:val="19"/>
        </w:rPr>
        <w:t xml:space="preserve">n</w:t>
      </w:r>
      <w:r>
        <w:rPr>
          <w:b/>
          <w:sz w:val="19"/>
        </w:rPr>
        <w:t xml:space="preserve">a i dokazana za stvarn</w:t>
      </w:r>
      <w:r>
        <w:rPr>
          <w:b/>
          <w:sz w:val="19"/>
        </w:rPr>
        <w:t xml:space="preserve">a</w:t>
      </w:r>
      <w:r>
        <w:rPr>
          <w:b/>
          <w:sz w:val="19"/>
        </w:rPr>
        <w:t xml:space="preserve"> opterećenj</w:t>
      </w:r>
      <w:r>
        <w:rPr>
          <w:b/>
          <w:sz w:val="19"/>
        </w:rPr>
        <w:t xml:space="preserve">a i uticaje na</w:t>
      </w:r>
      <w:r>
        <w:rPr>
          <w:b/>
          <w:sz w:val="19"/>
        </w:rPr>
        <w:t xml:space="preserve"> lokalitet</w:t>
      </w:r>
      <w:r>
        <w:rPr>
          <w:b/>
          <w:sz w:val="19"/>
        </w:rPr>
        <w:t xml:space="preserve">u</w:t>
      </w:r>
      <w:r>
        <w:rPr>
          <w:b/>
          <w:sz w:val="19"/>
        </w:rPr>
        <w:t xml:space="preserve"> (Tačka 3.1); 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Pritisak vjetra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qp ≥ 1,20 kN/m² (udar 3 s ≈ 45 m/s)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Koeficijent sile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cf ≥ 1,5 pri 45° prema EN 1991-1-4 §7.3,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Površina izloženosti vjetru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10,55 m² po nosaču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Sila podizanja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18,1 kN (GSN, γQ = 1,5 / γG,fav = 0,9)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Horizontalna sila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13,4 kN (GSN)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Moment prevrtanja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62,8 kNm (GSN)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Mjerodavno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podizanje (uplift) i prevrtanje, a NE nosivost tla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3.3 Materijal i izrada </w:t>
      </w:r>
      <w:r>
        <w:rPr/>
        <w:t xml:space="preserve">konstrukcije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Konstrukcijski čelik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S275JR (S355JR za stubove) prema EN 10025-2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Profili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šuplji profili prema EN 10219; stubovi min. RHS 80 × 80 × 4, rigle min. RHS 60 × 40 × 3, ili presjek sa dokazano najmanje jednakim otpornim momentom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Antikorozivna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vruće cinčanje prema EN ISO 1461, min. 70 µm lokalno / 85 µm srednje (C4)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Zavarivanje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EN 1090-2, klasa izvedbe EXC2; zavarivači prema EN ISO 9606-1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Označavanje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CE i izjava o svojstvima prema EN 1090-1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Konstrukcijski vijci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M16 klase 8.8, cinčani, prema EN 15048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Pričvršćenje modula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nehrđajući A2/A4; stezaljke za debljinu modula 30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Zaštita od krađe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antitheft matice na stezaljkama modula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Moment pritezanja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prema uputstvu proizvođača (45 N·m za Huawei)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3.4 Sidrenje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Tip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hemijski (epoksidni/vinilesterski) anker M16 ili M20, sa ETA odobrenjem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Materijal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vruće cinčan ili nehrđajući A4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min. 2 ankera po temeljnoj traci, odnosno 4 po nosaču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Nosivost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karakteristična sila čupanja ≥30 kN po ankeru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Dubina ugradnje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prema ETA za konkretnu podlogu (beton / stijena)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Projektna sila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ukupno podizanje po nosaču ≥18,1 kN; sila po traci od momenta prevrtanja ≥39,3 kN pri razmaku traka 1600 mm — ovo je mjerodavno opterećenje za sidrenje, ne ukupno podizanje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Dokazivanje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ispitivanje čupanjem na ≥10 % ugrađenih ankera, min. 2 po nosaču, do 1,5 × projektne sile, uz zapisnik ovjeren od nadzornog organa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Alternativa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livena U-sidra M16/320 dozvoljena SAMO uz gravitacioni temelj ≥0,75 m³ po nosaču — momenat prevrtanja i dalje zahtijeva provjeru lokalnog istezanja trake, ne samo ukupne mase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3.5 Temelji </w:t>
      </w:r>
      <w:r>
        <w:rPr/>
        <w:t xml:space="preserve">nosača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Beton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C30/37, klasa izloženosti XC4 + XF3, aerant 4–6 %, Dmax 16, S3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Podložni beton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C12/15, d = 50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Armatura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B500B, zaštitni sloj ≥50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Geometrija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 trake po nosaču (×3 nosača = 6 traka ukupno), min. 450 mm široke × 3300 mm duge, razmak 1600 mm, pravac SJEVER–JUG; dubina prema statičkom proračunu (≥900 mm)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Smještaj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IZVAN ograđenog platoa, 400 mm južno od kote ograde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Dubina smrzavanja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temeljna spojnica ispod dubine smrzavanja; Ponuđač navodi vrijednost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3.6 Uzemljenje (LOT 1)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povezivanje sva tri nosača na postojeći prstenasti uzemljivač Fe/Zn 25 × 4 mm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 xml:space="preserve">vodič: bakarno uže ≥50 mm² prema EN 62305-3, Tabela 7, otporno na UV i ukopavanje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 xml:space="preserve">NIJE dozvoljen H07V-K 25 mm² (unutrašnji instalacioni vodič)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bimetalni (Cu/Fe-Zn) ukrsni komadi </w:t>
      </w:r>
      <w:r>
        <w:rPr>
          <w:sz w:val="19"/>
        </w:rPr>
        <w:t xml:space="preserve">otporni na</w:t>
      </w:r>
      <w:r>
        <w:rPr>
          <w:sz w:val="19"/>
        </w:rPr>
        <w:t xml:space="preserve"> galvansk</w:t>
      </w:r>
      <w:r>
        <w:rPr>
          <w:sz w:val="19"/>
        </w:rPr>
        <w:t xml:space="preserve">u</w:t>
      </w:r>
      <w:r>
        <w:rPr>
          <w:sz w:val="19"/>
        </w:rPr>
        <w:t xml:space="preserve"> korozij</w:t>
      </w:r>
      <w:r>
        <w:rPr>
          <w:sz w:val="19"/>
        </w:rPr>
        <w:t xml:space="preserve">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kontinuitet spojeva ≤0,1 Ω; ukupni otpor uzemljenja ≤10 Ω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DC kablovi na razmaku ≥0,5 m od odvoda gromobranske instalacije</w:t>
      </w:r>
    </w:p>
    <w:p>
      <w:pPr>
        <w:pStyle w:val="Heading1"/>
        <w:rPr/>
      </w:pPr>
      <w:r>
        <w:rPr/>
        <w:t xml:space="preserve">4. LOT 2 — Dizel električni agregat i instalacije</w:t>
      </w:r>
    </w:p>
    <w:p>
      <w:pPr>
        <w:pStyle w:val="Heading2"/>
        <w:rPr/>
      </w:pPr>
      <w:r>
        <w:rPr/>
        <w:t xml:space="preserve">4.1 Agregat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 / referentna vrijednost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Snaga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18 kVA / 14,4 kW standby, 400/230 V, 50 Hz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Referentni tip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FG Wilson P18-6 ili ekvivalent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Motor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Perkins 404D-22G1 ili ekvivalent, 4-cilindarski, 2,2 l, 1500 o/min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Izvedba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 montažu u prostor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Dimenzije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1550 × 620 × 1020 mm (referentno +/-5%)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Masa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365 kg suho / 372 kg mokro (referentno)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Derating na 1076 mnv i temperaturu okoline do +40 °C (ISO 3046-1)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Uzbuda (OBAVEZNO)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nezavisna pobuda — PMG ili AREP/AUX namotaj; trajna struja kratkog spoja ≥3 × In (≈78 A) u trajanju ≥10 s prema ISO 8528-3. Standardna SHUNT pobuda NIJE prihvatljiva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Antivibracioni elementi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vlastita frekvencija ≤8 Hz; sa fleksibilnim priključcima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12160" cy="27324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160" cy="2732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 xml:space="preserve">FG Wilson P18-6 (Skid), bočni pogled (ilustrativno)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727835" cy="25285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835" cy="252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Slika 2 — FG Wilson P18-6 (Skid), čeoni pogled (generator) (ilustrativno)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4.2 Spremnik 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metalni, dvoplašni, zapremine 500 l, sa nivo sondom i detekcijom curenja </w:t>
      </w:r>
      <w:r>
        <w:rPr>
          <w:sz w:val="19"/>
        </w:rPr>
        <w:t xml:space="preserve">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 xml:space="preserve">referentne dimenzije 1050 × 600 × 1310 mm, masa cca 170 kg — pun ≈590 kg na 0,63 m² = 9,2 kN/m²; unutar projektnih 10,00 kN/m²,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 xml:space="preserve">OBAVEZAN čelični ram/roštilj za raznošenje opterećenja pod </w:t>
      </w:r>
      <w:r>
        <w:rPr>
          <w:sz w:val="19"/>
        </w:rPr>
        <w:t xml:space="preserve">DEA i</w:t>
      </w:r>
      <w:r>
        <w:rPr>
          <w:sz w:val="19"/>
        </w:rPr>
        <w:t xml:space="preserve"> spremnikom (vidi Tačku 4.8)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Sekundarnu zaštitu čini međuplašt dvoplašnog spremnika sa sondom za detekciju curenja, pa tankvana zapremine ≥110 % NIJE zahtijevana. Ispod spremnika se izvodi prihvatno KORITO (kada) za prihvat kapanja i prosipanja, referentno 1150 × 640 mm, visina ruba 200 mm, sa vidljivim najnižim mjestom za kontrolu i pražnjenje</w:t>
      </w:r>
      <w:r>
        <w:rPr>
          <w:sz w:val="19"/>
        </w:rPr>
        <w:t xml:space="preserve"/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vanjski priključak za </w:t>
      </w:r>
      <w:r>
        <w:rPr>
          <w:sz w:val="19"/>
        </w:rPr>
        <w:t xml:space="preserve">tankanje</w:t>
      </w:r>
      <w:r>
        <w:rPr>
          <w:sz w:val="19"/>
        </w:rPr>
        <w:t xml:space="preserve"> sa zaštitom od statičkog elektriciteta i sprječavanjem prelijevanja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odušna cijev izvan kontejnera, sa plamenobranom, udaljena ≥3 m od izduva i usisa zraka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protupožarni ventil na izlazu iz spremnika (topljivi osigurač ili solenoid), aktiviran požarom i E-STOP-om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sifon protiv povratnog toka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663825" cy="2660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266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Slika 3 — Spremnik goriva 500 l, bočni izgled (ilustrativno)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096260" cy="20294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202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Slika 4 — Spremnik goriva 500 l, pogled od vrha (ilustrativno)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4.3 Ventilacija i hlađenje</w:t>
      </w:r>
    </w:p>
    <w:p>
      <w:pPr>
        <w:pStyle w:val="Normal"/>
        <w:spacing w:before="0" w:after="80"/>
        <w:rPr/>
      </w:pPr>
      <w:r>
        <w:rPr>
          <w:b w:val="false"/>
          <w:i/>
          <w:sz w:val="18"/>
        </w:rPr>
        <w:t xml:space="preserve">Dimenzionisano prema tehničkom listu proizvođača. Mjerodavno ograničenje je maksimalni vanjski otpor strujanju zraka od 125 Pa, a NE brzina izmjene zraka u prostoriji.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58"/>
        <w:gridCol w:w="5781"/>
      </w:tblGrid>
      <w:tr>
        <w:trPr>
          <w:tblHeader w:val="true"/>
        </w:trPr>
        <w:tc>
          <w:tcPr>
            <w:tcW w:w="385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5781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Vrijednost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Zrak hladnjaka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1980 m³/h (33 m³/min) — ostvaruje vlastiti ventilator hladnjaka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Zrak za sagorijevanje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90 m³/h; max. otpor usisa 3 kPa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Maks. vanjski otpor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125 Pa (ukupno: usis + kanal + izlaz)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Toplota u prostor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7,1 kW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Usisna žaluzina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500 × 700 mm (v ≈ 3,4 m/s, Δp ≈ 16 Pa)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Kanal hladnjaka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limeni kanal ≈6 m², od pocinčanog lima d = 1 mm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Izlazna žaluzina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600 × 600 mm (Δp ≈ 15 Pa)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Ventilator prostora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1200 m³/h, Ø315, vođen termostatom i kontrolerom DEA, blokiran sa radom DEA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Provjera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Izvođač dostavlja proračun pada pritiska ukupne putanje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i w:val="false"/>
          <w:sz w:val="19"/>
        </w:rPr>
        <w:t xml:space="preserve">Raspored otvora (prema crtežu M-01, Prilog III)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58"/>
        <w:gridCol w:w="5781"/>
      </w:tblGrid>
      <w:tr>
        <w:trPr>
          <w:tblHeader w:val="true"/>
        </w:trPr>
        <w:tc>
          <w:tcPr>
            <w:tcW w:w="385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Element</w:t>
            </w:r>
          </w:p>
        </w:tc>
        <w:tc>
          <w:tcPr>
            <w:tcW w:w="5781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Zid i položaj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Usisna žaluzina 500 × 700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JUŽNI zid, desno; donja ivica +0,30 m od poda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Kanal hladnjaka + izlazna žaluzina 600 × 600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ZAPADNI zid, na osi hladnjaka agregata; kanal najkraćim putem od hladnjaka agregata kroz kontejner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Izduv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uz ZAPADNI zid, završetak iznad krova (Tačka 4.4)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Odušna cijev spremnika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SJEVERNI zid, prema istoku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Ventilator prostora Ø315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ISTOČNI zid, gore (donja ivica ≈+1,75 m), sjeverno od ulaznih vrata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Minimalna razdaljina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 m prostorno između usisa zraka, izduva i odušne cijevi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760085" cy="3924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92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Slika 5 — </w:t>
            </w:r>
            <w:r>
              <w:rPr>
                <w:i/>
                <w:sz w:val="17"/>
              </w:rPr>
              <w:t xml:space="preserve">Orijentacioni r</w:t>
            </w:r>
            <w:r>
              <w:rPr>
                <w:i/>
                <w:sz w:val="17"/>
              </w:rPr>
              <w:t xml:space="preserve">aspored opreme i otvora u kontejneru: (usis JUG → agregat → izlaz ZAPAD). Crteža M-01, Prilog III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 xml:space="preserve">Otvori se izvode kroz ZIDNE PANELE kontejnera. </w:t>
      </w:r>
      <w:r>
        <w:rPr>
          <w:b/>
          <w:sz w:val="19"/>
        </w:rPr>
        <w:t xml:space="preserve">Predloženi r</w:t>
      </w:r>
      <w:r>
        <w:rPr>
          <w:b/>
          <w:sz w:val="19"/>
        </w:rPr>
        <w:t xml:space="preserve">aspored je ukrsni (usis JUG → agregat → izlaz ZAPAD). </w:t>
      </w:r>
      <w:r>
        <w:rPr>
          <w:b/>
          <w:sz w:val="19"/>
        </w:rPr>
        <w:t xml:space="preserve">N</w:t>
      </w:r>
      <w:r>
        <w:rPr>
          <w:b/>
          <w:sz w:val="19"/>
        </w:rPr>
        <w:t xml:space="preserve">ije dozvoljeno izvesti usis, izlaz i izduv na istom zidu, niti usmjeriti izlaz toplog zraka ili izduv prema SJEVERNOJ strani, gdje se nalaz</w:t>
      </w:r>
      <w:r>
        <w:rPr>
          <w:b/>
          <w:sz w:val="19"/>
        </w:rPr>
        <w:t xml:space="preserve">i oprema (</w:t>
      </w:r>
      <w:r>
        <w:rPr>
          <w:b/>
          <w:sz w:val="19"/>
        </w:rPr>
        <w:t xml:space="preserve">vanjski ormari ICC360-HA1-C1 i MTS9302A)</w:t>
      </w:r>
      <w:r>
        <w:rPr>
          <w:b/>
          <w:sz w:val="19"/>
        </w:rPr>
        <w:t xml:space="preserve"/>
      </w:r>
      <w:r>
        <w:rPr>
          <w:b/>
          <w:sz w:val="19"/>
        </w:rPr>
        <w:t xml:space="preserve">. D</w:t>
      </w:r>
      <w:r>
        <w:rPr>
          <w:b/>
          <w:sz w:val="19"/>
        </w:rPr>
        <w:t xml:space="preserve">ozvoljene su izmjene</w:t>
      </w:r>
      <w:r>
        <w:rPr>
          <w:b/>
          <w:sz w:val="19"/>
        </w:rPr>
        <w:t xml:space="preserve">, uz proračun recirkulacije i temperaturnog uticaja i saglasnost NO.</w:t>
      </w:r>
    </w:p>
    <w:p>
      <w:pPr>
        <w:pStyle w:val="Heading2"/>
        <w:rPr/>
      </w:pPr>
      <w:r>
        <w:rPr/>
        <w:t xml:space="preserve">4.4 Izduvni sistem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75"/>
        <w:gridCol w:w="6864"/>
      </w:tblGrid>
      <w:tr>
        <w:trPr>
          <w:tblHeader w:val="true"/>
        </w:trPr>
        <w:tc>
          <w:tcPr>
            <w:tcW w:w="27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Parametar</w:t>
            </w:r>
          </w:p>
        </w:tc>
        <w:tc>
          <w:tcPr>
            <w:tcW w:w="6864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Vrijednost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Protok izduvnih gasova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192 m³/h (3,2 m³/min) pri 413 °C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Maks. dozvoljeni protutlak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10,2 kPa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Dijametar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NO 50 (stavka 4.11) — pri 192 m³/h i 413 °C brzina je 27,2 m/s (&lt; 30 m/s), protutlak ≈1,9 kPa uz dozvoljenih 10,2 kPa</w:t>
            </w: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/>
            </w: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/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Prigušivač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industrijski; hvatač iskri obavezan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Fleksibilni priključak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neposredno iza motora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Izolacija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kamena vuna d = 50 mm + Al lim; boja otporna na 600 °C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Trasa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uspon uz ZAPADNI zid kontejnera (v. Tačku 4.3 i crtež M-01)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Završetak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iznad krova, usmjeren naviše, ≥3 m od usisa zraka i odušne cijevi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Provjera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Ponuđač dostavlja proračun protutlaka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4.5 Elektroinstalacije i zaštite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 xml:space="preserve">Zahtijeva se NEZAVISNA POBUDA generatora (PMG ili AREP/AUX) sa 3 × In u trajanju ≥10 s (Tačka 4.1), kao i zaštita ZS sklopkom kao drugi nivo zaštite.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75"/>
        <w:gridCol w:w="6864"/>
      </w:tblGrid>
      <w:tr>
        <w:trPr>
          <w:tblHeader w:val="true"/>
        </w:trPr>
        <w:tc>
          <w:tcPr>
            <w:tcW w:w="27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Element</w:t>
            </w:r>
          </w:p>
        </w:tc>
        <w:tc>
          <w:tcPr>
            <w:tcW w:w="6864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Zahtjev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Struja kvara (SHUNT)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prv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poluperiod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407 A (12,8 × In, X"d = 0,078) → prelazna 205 A (6,5 × In) → TRAJNA 16 A (0,5 × In, Xd = 1,938) — ne aktivira zaštitu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(ne zadovoljava)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Struja kvara (PMG/AREP)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95 A (3 × In) trajno ≥10 s — ZAHTIJEVANO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Sistem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zaštite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TN-S, jedinstvena tačka spajanja N i PE u novom GRO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Glavna zaštita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4p RCD 63 A / 300 mA, S-tip (selektivna)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Krajnji strujni krugovi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 × RCBO 16 A / 30 mA, tip A (utičnice, rasvjeta)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Nazivna struja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In = 26,0 A pri 18 kVA / 400 V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Sklopka izvora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4p 63 A, položaji 1 – agregat / 0 – isključeno / 2 – rezerva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SPD, AC strana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tip 1 + 2 (I</w:t>
            </w:r>
            <w:r>
              <w:rPr>
                <w:rFonts w:cs=""/>
                <w:kern w:val="0"/>
                <w:sz w:val="17"/>
                <w:szCs w:val="22"/>
                <w:vertAlign w:val="subscript"/>
                <w:lang w:val="en-US" w:eastAsia="en-US" w:bidi="ar-SA"/>
              </w:rPr>
              <w:t xml:space="preserve">imp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≥12,5 kA) — objekat ima vanjski LPS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SPD, DC strana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tip 2 po stringu (Iimp ≥5 kA, Ucpv ≥425 V), na PVDB i na polju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SPD, signalni vodovi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prema EN 61643-21  (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obavezno za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stub h = 38 m)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Postojeći strujni krugovi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snimiti stanje i prevezati svih 7 postojećih krugova u novi GRO; signalna rasvjeta antenskog stuba (K7) na zasebnom nadziranom krugu, sa signalizacijom ispada u sistem daljinskog nadzora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AC kablovi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bezhalogeni, CPR ≥ Cca-s1b,d1,a1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DC kablovi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H1Z2Z2-K 6 mm²; priključak na iSSU presjekom 4 mm²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Otpor uzemljenja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 Ω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4.6 Parametriranje upravljanja i nadzora radom DEA </w:t>
      </w:r>
      <w:r>
        <w:rPr/>
        <w:t xml:space="preserve">+</w:t>
      </w:r>
      <w:r>
        <w:rPr/>
        <w:t xml:space="preserve"> PV + Baterija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start agregata prema stanju napunjenosti baterija (SoC), a ne prema ispadu mreže </w:t>
      </w:r>
      <w:r>
        <w:rPr>
          <w:sz w:val="19"/>
        </w:rPr>
        <w:t xml:space="preserve">nema priključak EES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ograničenje ulazne snage ispravljača radi sprječavanja preopterećenja agregata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prijenos alarma u sistem daljinskog nadzora: rad agregata, kvar, nivo goriva, curenje goriva, požar, temperatura prostora, </w:t>
      </w:r>
      <w:r>
        <w:rPr>
          <w:sz w:val="19"/>
        </w:rPr>
        <w:t xml:space="preserve">itd...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Upravljačka jedinica</w:t>
      </w:r>
      <w:r>
        <w:rPr>
          <w:sz w:val="19"/>
        </w:rPr>
        <w:t xml:space="preserve"> kompatibiln</w:t>
      </w:r>
      <w:r>
        <w:rPr>
          <w:sz w:val="19"/>
        </w:rPr>
        <w:t xml:space="preserve">a</w:t>
      </w:r>
      <w:r>
        <w:rPr>
          <w:sz w:val="19"/>
        </w:rPr>
        <w:t xml:space="preserve"> sa postojećim sistemom napajanja</w:t>
      </w:r>
    </w:p>
    <w:p>
      <w:pPr>
        <w:pStyle w:val="Heading2"/>
        <w:rPr/>
      </w:pPr>
      <w:r>
        <w:rPr/>
        <w:t xml:space="preserve">4.7 Zaštita od požara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elaborat zaštite od požara za prostor sa 500 l dizel goriva — </w:t>
      </w:r>
      <w:r>
        <w:rPr>
          <w:sz w:val="19"/>
        </w:rPr>
        <w:t xml:space="preserve">tokom primopredaje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detekcija: dimni i termički detektori; detekcija CO i NO₂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automatsko gašenje sredstvom za klasu B, sa blokadom ventilacije pri aktivaciji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protupožarni ventil na izlazu iz spremnika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E-STOP izvan kontejnera pored ulaznih vrata, prema ISO 13850 kategorija 0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oznake opasnosti, zabrana pušenja, oznaka kapaciteta 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najmanje dva aparata za gašenje odgovarajuće klase</w:t>
      </w:r>
    </w:p>
    <w:p>
      <w:pPr>
        <w:pStyle w:val="Normal"/>
        <w:spacing w:before="0" w:after="80"/>
        <w:rPr/>
      </w:pPr>
      <w:r>
        <w:rPr>
          <w:b w:val="false"/>
          <w:i/>
          <w:sz w:val="18"/>
        </w:rPr>
        <w:t xml:space="preserve">Elaborat zaštite od požara, protupožarni ventil na spremniku i blokada ventilacije pri aktivaciji gašenja zasebno su iskazani u Predmjeru (Prilog II, LOT 2) i ulaze u cijenu ponude.</w:t>
      </w:r>
    </w:p>
    <w:p>
      <w:pPr>
        <w:pStyle w:val="Heading1"/>
        <w:rPr/>
      </w:pPr>
      <w:r>
        <w:rPr/>
        <w:t xml:space="preserve">5. Dokazi koji se dostavljaju uz ponudu: oznaka PONUDA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sz w:val="19"/>
        </w:rPr>
      </w:pPr>
      <w:r>
        <w:rPr>
          <w:b/>
          <w:sz w:val="19"/>
        </w:rPr>
        <w:t xml:space="preserve">Dokazi koji se dostavljaju </w:t>
      </w:r>
      <w:r>
        <w:rPr>
          <w:b/>
          <w:sz w:val="19"/>
        </w:rPr>
        <w:t xml:space="preserve">uz Ponudu</w:t>
      </w:r>
      <w:r>
        <w:rPr>
          <w:b/>
          <w:sz w:val="19"/>
        </w:rPr>
        <w:t xml:space="preserve">: oznaka </w:t>
      </w:r>
      <w:r>
        <w:rPr>
          <w:b/>
          <w:sz w:val="19"/>
        </w:rPr>
        <w:t xml:space="preserve">PONUDA</w:t>
      </w:r>
      <w:r>
        <w:rPr>
          <w:b/>
          <w:sz w:val="19"/>
        </w:rPr>
        <w:t xml:space="preserve">.</w:t>
        <w:br/>
        <w:t xml:space="preserve">Dokazi koji se dostavljaju NO u toku realizacije: oznaka REALIZACIJA.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sz w:val="19"/>
        </w:rPr>
      </w:pPr>
      <w:r>
        <w:rPr>
          <w:b/>
          <w:sz w:val="19"/>
        </w:rPr>
        <w:t xml:space="preserve">Dokazi koji se dostavljaju </w:t>
      </w:r>
      <w:r>
        <w:rPr>
          <w:b/>
          <w:sz w:val="19"/>
        </w:rPr>
        <w:t xml:space="preserve">komisiji</w:t>
      </w:r>
      <w:r>
        <w:rPr>
          <w:b/>
          <w:sz w:val="19"/>
        </w:rPr>
        <w:t xml:space="preserve"> tokom primopredaje: oznaka PRIMOPREDAJA.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8"/>
        <w:gridCol w:w="6975"/>
        <w:gridCol w:w="567"/>
        <w:gridCol w:w="1589"/>
      </w:tblGrid>
      <w:tr>
        <w:trPr>
          <w:tblHeader w:val="true"/>
        </w:trPr>
        <w:tc>
          <w:tcPr>
            <w:tcW w:w="50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Br.</w:t>
            </w:r>
          </w:p>
        </w:tc>
        <w:tc>
          <w:tcPr>
            <w:tcW w:w="69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Dokaz</w:t>
            </w:r>
          </w:p>
        </w:tc>
        <w:tc>
          <w:tcPr>
            <w:tcW w:w="567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LOT</w:t>
            </w:r>
          </w:p>
        </w:tc>
        <w:tc>
          <w:tcPr>
            <w:tcW w:w="158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Oznaka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Statički proračun nosive konstrukcije i temelja za qp ≥ 1,20 kN/m² pri 45°, ovjeren i potpisan od ovlaštenog inženjera, sa dokazom na podizanje i prevrtanje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Tečnički nacrti konstrukcije i temelja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PONUDA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Izjava o svojstvima prema EN 1090-1 i klasa izvedbe EXC2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4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Atesti materijala (čelik) i potvrda o vrućem cinčanju (debljina sloja)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5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ETA certifikat i proračun za hemijska sidra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6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Zapisnik o ispitivanju ankera na čupanje (min. 10 %)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PRIMOPREDAJA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7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Tehnički list (TDS) agregata sa dokazom o PMG/AREP nezavisnoj pobudi (3 × In, ≥10 s)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PONUDA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8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Proračun pada pritiska ventilacije i protutlaka izduvnog sistema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9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Elaborat zaštite od požara za prostor sa rezervoarom 500 l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Atesti i certifikati za elektro opremu, CPR kablove i prenaponsku zaštitu (SPD)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11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Ispitni protokoli elektroinstalacija i otpora uzemljenja (≤10 Ω)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PRIMOPREDAJA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12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Protokol o parametriranju i funkcionalnom ispitivanju integracije DEA–PV–baterija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PRIMOPREDAJA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6. Ispitivanja i puštanje u rad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Ispitivanje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Kriterij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Otpor uzemljenja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 Ω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Kontinuitet zaštitnih vodiča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0,1 Ω po spoju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Ispitivanje čupanja ankera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10 % ankera, do 1,5 × projektne sile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Funkcionalno ispitivanje RCD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vrijeme i struja isključenja prema IEC 61008/61009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Ispitivanje ventilacije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izmjereni pad pritiska ≤125 Pa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Funkcionalno ispitivanje agregata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automatski start/stop, zaštite, alarmi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Probni rad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72 h neprekidnog rada sa simulacijom opterećenja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Mjerenje temperature prostora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pri radu agregata na nazivnom opterećenju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7. Garancija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garantni period minimalno 24 mjeseca od zapisnika o primopredaji bez primjedbi,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postgarantni period minimalno 5 godina,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spisak preporučenih rezervnih dijelova za 500 h rada agregata,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dokumentacija izvedenog stanja i uputstva za pogon i održavanje.</w:t>
      </w:r>
    </w:p>
    <w:p>
      <w:pPr>
        <w:pStyle w:val="Normal"/>
        <w:spacing w:before="0" w:after="80"/>
        <w:rPr>
          <w:sz w:val="18"/>
        </w:rPr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247" w:right="1020" w:gutter="0" w:header="720" w:top="1134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5"/>
      </w:rPr>
      <w:t xml:space="preserve">PRILOG I — Specifikacija zahtjeva · BS Sjednica (Bileća) · Rev. 1, 2026 · stranica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PAGE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  <w:r>
      <w:rPr>
        <w:color w:val="595959"/>
        <w:sz w:val="15"/>
      </w:rPr>
      <w:t xml:space="preserve"> od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NUMPAGES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5"/>
      </w:rPr>
      <w:t xml:space="preserve">PRILOG I — Specifikacija zahtjeva · BS Sjednica (Bileća) · Rev. 1, 2026 · stranica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PAGE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  <w:r>
      <w:rPr>
        <w:color w:val="595959"/>
        <w:sz w:val="15"/>
      </w:rPr>
      <w:t xml:space="preserve"> od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NUMPAGES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/>
      <w:drawing>
        <wp:inline distT="0" distB="0" distL="0" distR="0">
          <wp:extent cx="2592070" cy="552450"/>
          <wp:effectExtent l="0" t="0" r="0" b="0"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/>
      <w:drawing>
        <wp:inline distT="0" distB="0" distL="0" distR="0">
          <wp:extent cx="2592070" cy="552450"/>
          <wp:effectExtent l="0" t="0" r="0" b="0"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Arial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F582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959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9595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4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color w:val="F5821F"/>
      <w:spacing w:val="5"/>
      <w:kern w:val="2"/>
      <w:sz w:val="3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80"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LibreOffice/26.2.5.2$Windows_X86_64 LibreOffice_project/cd7284b4cbbfeb507e630c1aac019f4157393acb</Application>
  <AppVersion>15.0000</AppVersion>
  <Pages>8</Pages>
  <Words>2532</Words>
  <Characters>13155</Characters>
  <CharactersWithSpaces>15230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2026-08-11T16:09:46Z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