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dovoda</w:t>
            </w:r>
          </w:p>
        </w:tc>
        <w:tc>
          <w:tcPr/>
          <w:p>
            <w:pPr>
              <w:pStyle w:val="Compact"/>
            </w:pPr>
            <w:r>
              <w:t xml:space="preserve">4p (3P+N) kompaktni prekidač 32 A sa podesivim magnetnim okidanjem; jednopolni uređaji na trofaznom dovodu</w:t>
            </w:r>
            <w:r>
              <w:t xml:space="preserve"> </w:t>
            </w:r>
            <w:r>
              <w:rPr>
                <w:b/>
                <w:bCs/>
              </w:rPr>
              <w:t xml:space="preserve">nisu prihvatljivi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50 A / 300 mA, S-tip (selektivna),</w:t>
            </w:r>
            <w:r>
              <w:t xml:space="preserve"> </w:t>
            </w:r>
            <w:r>
              <w:rPr>
                <w:b/>
                <w:bCs/>
              </w:rPr>
              <w:t xml:space="preserve">najmanje tip A</w:t>
            </w:r>
            <w:r>
              <w:t xml:space="preserve"> </w:t>
            </w:r>
            <w:r>
              <w:t xml:space="preserve">— tip AC nije prihvatljiv (prekidački ispravljači iza sklopke)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Dovod ispravljača</w:t>
            </w:r>
          </w:p>
        </w:tc>
        <w:tc>
          <w:tcPr/>
          <w:p>
            <w:pPr>
              <w:pStyle w:val="Compact"/>
            </w:pPr>
            <w:r>
              <w:t xml:space="preserve">3p C 20 A (projektna struja 14,4 A pri ograničenju 9,5 kW iz Tačke 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50 A, položaji 1 – agregat / 0 – isključeno / 2 – rezerva; sklopka 0-1 iza nje je</w:t>
            </w:r>
            <w:r>
              <w:t xml:space="preserve"> </w:t>
            </w:r>
            <w:r>
              <w:rPr>
                <w:b/>
                <w:bCs/>
              </w:rPr>
              <w:t xml:space="preserve">4p</w:t>
            </w:r>
            <w:r>
              <w:t xml:space="preserve"> </w:t>
            </w:r>
            <w:r>
              <w:t xml:space="preserve">(prekida i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p>
      <w:r>
        <w:pict>
          <v:rect style="width:0;height:1.5pt" o:hralign="center" o:hrstd="t" o:hr="t"/>
        </w:pict>
      </w:r>
    </w:p>
    <w:bookmarkEnd w:id="62"/>
    <w:bookmarkStart w:id="63" w:name="X80b1634cbfe0117dc8211bc9785ec1b2eaf54f8"/>
    <w:p>
      <w:pPr>
        <w:pStyle w:val="Heading2"/>
      </w:pPr>
      <w:r>
        <w:t xml:space="preserve">9. Oprema Kupca — specifikacija isporuke (informativno)</w:t>
      </w:r>
    </w:p>
    <w:p>
      <w:pPr>
        <w:pStyle w:val="FirstParagraph"/>
      </w:pPr>
      <w:r>
        <w:t xml:space="preserve">Opremu iz tabele Kupac predaje Ponuđaču u skladištu (Tačka 4.9). Spisak je sažet iz</w:t>
      </w:r>
      <w:r>
        <w:t xml:space="preserve"> </w:t>
      </w:r>
      <w:r>
        <w:t xml:space="preserve">Huawei specifikacije isporuke za obje lokacije i služi Ponuđaču da procijeni obim</w:t>
      </w:r>
      <w:r>
        <w:t xml:space="preserve"> </w:t>
      </w:r>
      <w:r>
        <w:t xml:space="preserve">preuzimanja, prevoza i ugradnje; sitni pribor i kablovi su grupisani. Tačan spisak</w:t>
      </w:r>
      <w:r>
        <w:t xml:space="preserve"> </w:t>
      </w:r>
      <w:r>
        <w:t xml:space="preserve">Kupac daje uz narudžbu.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168"/>
        <w:gridCol w:w="1542"/>
        <w:gridCol w:w="19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Oprema</w:t>
            </w:r>
          </w:p>
        </w:tc>
        <w:tc>
          <w:tcPr/>
          <w:p>
            <w:pPr>
              <w:pStyle w:val="Compact"/>
            </w:pPr>
            <w:r>
              <w:t xml:space="preserve">Po lokaciji</w:t>
            </w:r>
          </w:p>
        </w:tc>
        <w:tc>
          <w:tcPr/>
          <w:p>
            <w:pPr>
              <w:pStyle w:val="Compact"/>
            </w:pPr>
            <w:r>
              <w:t xml:space="preserve">Ukupno (2 lokacije)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Vanjski ormar hibridnog sistema napajanja Huawei ICC360 sa kontrolerom i razdjelom 600 A, izmjenjivačem toplote i DC klima-uređajem, 650 × 650 × 2000 mm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Ispravljački moduli R4875, 4000 W, 1U</w:t>
            </w:r>
          </w:p>
        </w:tc>
        <w:tc>
          <w:tcPr/>
          <w:p>
            <w:pPr>
              <w:pStyle w:val="Compact"/>
            </w:pPr>
            <w:r>
              <w:t xml:space="preserve">3 kom</w:t>
            </w:r>
          </w:p>
        </w:tc>
        <w:tc>
          <w:tcPr/>
          <w:p>
            <w:pPr>
              <w:pStyle w:val="Compact"/>
            </w:pPr>
            <w:r>
              <w:t xml:space="preserve">6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moduli S4875G3, 4000 W, sa AFCI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  <w:tc>
          <w:tcPr/>
          <w:p>
            <w:pPr>
              <w:pStyle w:val="Compact"/>
            </w:pPr>
            <w:r>
              <w:t xml:space="preserve">4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moduli iPV585-M2A, 585 W, 2278 × 1134 × 30 mm</w:t>
            </w:r>
          </w:p>
        </w:tc>
        <w:tc>
          <w:tcPr/>
          <w:p>
            <w:pPr>
              <w:pStyle w:val="Compact"/>
            </w:pPr>
            <w:r>
              <w:t xml:space="preserve">12 kom (7,02 kWp)</w:t>
            </w:r>
          </w:p>
        </w:tc>
        <w:tc>
          <w:tcPr/>
          <w:p>
            <w:pPr>
              <w:pStyle w:val="Compact"/>
            </w:pPr>
            <w:r>
              <w:t xml:space="preserve">24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razdjelna kutija PVDB, 500 V DC, 2 izlaza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ulazni modul AIU03 (100 A, 3P+N) i prenaponska zaštita SPM01A</w:t>
            </w:r>
          </w:p>
        </w:tc>
        <w:tc>
          <w:tcPr/>
          <w:p>
            <w:pPr>
              <w:pStyle w:val="Compact"/>
            </w:pPr>
            <w:r>
              <w:t xml:space="preserve">1 + 1 kom</w:t>
            </w:r>
          </w:p>
        </w:tc>
        <w:tc>
          <w:tcPr/>
          <w:p>
            <w:pPr>
              <w:pStyle w:val="Compact"/>
            </w:pPr>
            <w:r>
              <w:t xml:space="preserve">2 + 2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Sprega sa agregatom i nadzor: interfejsni modul agregata, bežični senzor nivoa goriva, bežični relej, napojna jedinica AC/DC 13,5 V, omnidirekciona antena, kabl za punjenje startne baterije agregata 10 m</w:t>
            </w:r>
          </w:p>
        </w:tc>
        <w:tc>
          <w:tcPr/>
          <w:p>
            <w:pPr>
              <w:pStyle w:val="Compact"/>
            </w:pPr>
            <w:r>
              <w:t xml:space="preserve">po 1 kom</w:t>
            </w:r>
          </w:p>
        </w:tc>
        <w:tc>
          <w:tcPr/>
          <w:p>
            <w:pPr>
              <w:pStyle w:val="Compact"/>
            </w:pPr>
            <w:r>
              <w:t xml:space="preserve">po 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Montažni pribor: nosači za montažu na cijev Ø48–114 mm (2 kom), pribor postolja, slijepe maske (5 kom), sabirnica za uzemljenje, pribor ormara i FN priključka, alat za MC4 konektore</w:t>
            </w:r>
          </w:p>
        </w:tc>
        <w:tc>
          <w:tcPr/>
          <w:p>
            <w:pPr>
              <w:pStyle w:val="Compact"/>
            </w:pPr>
            <w:r>
              <w:t xml:space="preserve">1 komplet</w:t>
            </w:r>
          </w:p>
        </w:tc>
        <w:tc>
          <w:tcPr/>
          <w:p>
            <w:pPr>
              <w:pStyle w:val="Compact"/>
            </w:pPr>
            <w:r>
              <w:t xml:space="preserve">2 kompleta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Energetski kablovi: H07Z-K 4 mm² (24 m crni i 24 m bijeli), PE 16 mm² (17 m), AC ulazni 4 × 25 mm² (10 m); baterijski 4AWG (2 para) i 6 mm² (2 × 0,5 m)</w:t>
            </w:r>
          </w:p>
        </w:tc>
        <w:tc>
          <w:tcPr/>
          <w:p>
            <w:pPr>
              <w:pStyle w:val="Compact"/>
            </w:pPr>
            <w:r>
              <w:t xml:space="preserve">≈75 m + 4 kom</w:t>
            </w:r>
          </w:p>
        </w:tc>
        <w:tc>
          <w:tcPr/>
          <w:p>
            <w:pPr>
              <w:pStyle w:val="Compact"/>
            </w:pPr>
            <w:r>
              <w:t xml:space="preserve">≈150 m + 8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produžni kablovi 4 mm²: 3 m (8 kom) i 7 m (2 kom)</w:t>
            </w:r>
          </w:p>
        </w:tc>
        <w:tc>
          <w:tcPr/>
          <w:p>
            <w:pPr>
              <w:pStyle w:val="Compact"/>
            </w:pPr>
            <w:r>
              <w:t xml:space="preserve">10 kom</w:t>
            </w:r>
          </w:p>
        </w:tc>
        <w:tc>
          <w:tcPr/>
          <w:p>
            <w:pPr>
              <w:pStyle w:val="Compact"/>
            </w:pPr>
            <w:r>
              <w:t xml:space="preserve">20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Signalni i komunikacioni kablovi: upredene parice 4 × 2 × 26AWG (30 m), 4 × 20AWG (10 m), 2 × 0,75 mm² (10 m); RS485, signalni, alarm vrata i CAN kablovi</w:t>
            </w:r>
          </w:p>
        </w:tc>
        <w:tc>
          <w:tcPr/>
          <w:p>
            <w:pPr>
              <w:pStyle w:val="Compact"/>
            </w:pPr>
            <w:r>
              <w:t xml:space="preserve">≈50 m + 6 kom</w:t>
            </w:r>
          </w:p>
        </w:tc>
        <w:tc>
          <w:tcPr/>
          <w:p>
            <w:pPr>
              <w:pStyle w:val="Compact"/>
            </w:pPr>
            <w:r>
              <w:t xml:space="preserve">≈100 m + 12 kom</w:t>
            </w:r>
          </w:p>
        </w:tc>
      </w:tr>
    </w:tbl>
    <w:bookmarkEnd w:id="63"/>
    <w:bookmarkEnd w:id="64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2026-10-01T12:02:37Z</dcterms:created>
  <dcterms:modified xsi:type="dcterms:W3CDTF">2026-10-01T12:02:37Z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