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56.png" ContentType="image/png"/>
  <Override PartName="/word/media/rId53.png" ContentType="image/png"/>
  <Override PartName="/word/media/rId38.png" ContentType="image/png"/>
  <Override PartName="/word/media/rId59.png" ContentType="image/png"/>
  <Override PartName="/word/media/rId3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rilog-i-td-specifikacija-zahtjeva"/>
    <w:p>
      <w:pPr>
        <w:pStyle w:val="Heading1"/>
      </w:pPr>
      <w:r>
        <w:t xml:space="preserve">PRILOG I TD — SPECIFIKACIJA ZAHTJEVA</w:t>
      </w:r>
    </w:p>
    <w:p>
      <w:pPr>
        <w:pStyle w:val="FirstParagraph"/>
      </w:pPr>
      <w:r>
        <w:rPr>
          <w:b/>
          <w:bCs/>
        </w:rPr>
        <w:t xml:space="preserve">Autonomni hibridni sistem napajanja — SJEDNICA (Bileća) i HAMZIĆI (Čitluk)</w:t>
      </w:r>
      <w:r>
        <w:t xml:space="preserve"> </w:t>
      </w:r>
      <w:r>
        <w:t xml:space="preserve">LOT 1: nosači fotonaponskih panela · LOT 2: dizel električni agregat u kontejneru —</w:t>
      </w:r>
      <w:r>
        <w:t xml:space="preserve"> </w:t>
      </w:r>
      <w:r>
        <w:rPr>
          <w:b/>
          <w:bCs/>
        </w:rPr>
        <w:t xml:space="preserve">svaki LOT obuhvata obje lokacije</w:t>
      </w:r>
    </w:p>
    <w:p>
      <w:pPr>
        <w:pStyle w:val="BodyText"/>
      </w:pPr>
      <w:r>
        <w:t xml:space="preserve">Na obje lokacije se ugrađuje</w:t>
      </w:r>
      <w:r>
        <w:t xml:space="preserve"> </w:t>
      </w:r>
      <w:r>
        <w:rPr>
          <w:b/>
          <w:bCs/>
        </w:rPr>
        <w:t xml:space="preserve">isti sistem</w:t>
      </w:r>
      <w:r>
        <w:t xml:space="preserve">: 12 fotonaponskih modula na 4 nosača, isti</w:t>
      </w:r>
      <w:r>
        <w:t xml:space="preserve"> </w:t>
      </w:r>
      <w:r>
        <w:t xml:space="preserve">agregat sa spremnikom goriva u postojećem kontejneru i isto upravljanje. Zahtjevi koji</w:t>
      </w:r>
      <w:r>
        <w:t xml:space="preserve"> </w:t>
      </w:r>
      <w:r>
        <w:t xml:space="preserve">se razlikuju po lokaciji dati su u zasebnim tačkama ili kolonama, sa oznakom lokacije.</w:t>
      </w:r>
    </w:p>
    <w:p>
      <w:r>
        <w:pict>
          <v:rect style="width:0;height:1.5pt" o:hralign="center" o:hrstd="t" o:hr="t"/>
        </w:pict>
      </w:r>
    </w:p>
    <w:bookmarkStart w:id="10" w:name="osnovni-parametri-lokaliteta"/>
    <w:p>
      <w:pPr>
        <w:pStyle w:val="Heading2"/>
      </w:pPr>
      <w:r>
        <w:t xml:space="preserve">1. Osnovni parametri lokaliteta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Lokacija</w:t>
            </w:r>
          </w:p>
        </w:tc>
        <w:tc>
          <w:tcPr/>
          <w:p>
            <w:pPr>
              <w:pStyle w:val="Compact"/>
            </w:pPr>
            <w:r>
              <w:t xml:space="preserve">Sjednica, Bileća, BiH</w:t>
            </w:r>
          </w:p>
        </w:tc>
        <w:tc>
          <w:tcPr/>
          <w:p>
            <w:pPr>
              <w:pStyle w:val="Compact"/>
            </w:pPr>
            <w:r>
              <w:t xml:space="preserve">Hamzići, Čitluk, BiH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Koordinate</w:t>
            </w:r>
          </w:p>
        </w:tc>
        <w:tc>
          <w:tcPr/>
          <w:p>
            <w:pPr>
              <w:pStyle w:val="Compact"/>
            </w:pPr>
            <w:r>
              <w:t xml:space="preserve">42,9448° N · 18,3236° E</w:t>
            </w:r>
          </w:p>
        </w:tc>
        <w:tc>
          <w:tcPr/>
          <w:p>
            <w:pPr>
              <w:pStyle w:val="Compact"/>
            </w:pPr>
            <w:r>
              <w:t xml:space="preserve">43,2880° N · 17,6248°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Nadmorska visina</w:t>
            </w:r>
          </w:p>
        </w:tc>
        <w:tc>
          <w:tcPr/>
          <w:p>
            <w:pPr>
              <w:pStyle w:val="Compact"/>
            </w:pPr>
            <w:r>
              <w:t xml:space="preserve">1076 m n.v.</w:t>
            </w:r>
          </w:p>
        </w:tc>
        <w:tc>
          <w:tcPr/>
          <w:p>
            <w:pPr>
              <w:pStyle w:val="Compact"/>
            </w:pPr>
            <w:r>
              <w:t xml:space="preserve">493 m n.v.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Priključak EES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(projektovan 2017., nije izveden)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Bilans potrošnje</w:t>
            </w:r>
          </w:p>
        </w:tc>
        <w:tc>
          <w:tcPr/>
          <w:p>
            <w:pPr>
              <w:pStyle w:val="Compact"/>
            </w:pPr>
            <w:r>
              <w:t xml:space="preserve">konstantno, 1180 W nazivno / 1330 W maksimalno, −48 V DC</w:t>
            </w:r>
          </w:p>
        </w:tc>
        <w:tc>
          <w:tcPr/>
          <w:p>
            <w:pPr>
              <w:pStyle w:val="Compact"/>
            </w:pPr>
            <w:r>
              <w:t xml:space="preserve">isto kao Sjednica — privremeno, do izmjerene potrošnje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Zakupljeni prostor</w:t>
            </w:r>
          </w:p>
        </w:tc>
        <w:tc>
          <w:tcPr/>
          <w:p>
            <w:pPr>
              <w:pStyle w:val="Compact"/>
            </w:pPr>
            <w:r>
              <w:t xml:space="preserve">≈150 m² (16,00 × 9,40 m)</w:t>
            </w:r>
          </w:p>
        </w:tc>
        <w:tc>
          <w:tcPr/>
          <w:p>
            <w:pPr>
              <w:pStyle w:val="Compact"/>
            </w:pPr>
            <w:r>
              <w:t xml:space="preserve">150 m² (12,00 × 12,50 m), k.č. 109/1 K.O.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Postojeći objekat</w:t>
            </w:r>
          </w:p>
        </w:tc>
        <w:tc>
          <w:tcPr/>
          <w:p>
            <w:pPr>
              <w:pStyle w:val="Compact"/>
            </w:pPr>
            <w:r>
              <w:t xml:space="preserve">AB ploča 5,40 × 5,40 m, ograda h = 2,10 m, kapija 1,00 m</w:t>
            </w:r>
          </w:p>
        </w:tc>
        <w:tc>
          <w:tcPr/>
          <w:p>
            <w:pPr>
              <w:pStyle w:val="Compact"/>
            </w:pPr>
            <w:r>
              <w:t xml:space="preserve">AB ploča 5,40 × 5,40 m, ograda h = 1,80 m, kapija 1,30 m na SZ strani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Antenski stub</w:t>
            </w:r>
          </w:p>
        </w:tc>
        <w:tc>
          <w:tcPr/>
          <w:p>
            <w:pPr>
              <w:pStyle w:val="Compact"/>
            </w:pPr>
            <w:r>
              <w:t xml:space="preserve">rešetkasti, h = 38 m, baza 4,20 × 4,20 m</w:t>
            </w:r>
          </w:p>
        </w:tc>
        <w:tc>
          <w:tcPr/>
          <w:p>
            <w:pPr>
              <w:pStyle w:val="Compact"/>
            </w:pPr>
            <w:r>
              <w:t xml:space="preserve">rešetkasti, h = 32 m, baza 3,70 × 3,70 m; platforma na +3,0 m iznad krova kontejnera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Kontejner</w:t>
            </w:r>
          </w:p>
        </w:tc>
        <w:tc>
          <w:tcPr/>
          <w:p>
            <w:pPr>
              <w:pStyle w:val="Compact"/>
            </w:pPr>
            <w:r>
              <w:t xml:space="preserve">3,00 × 2,30 m vanjski, zidni paneli 60 mm,</w:t>
            </w:r>
            <w:r>
              <w:t xml:space="preserve"> </w:t>
            </w:r>
            <w:r>
              <w:rPr>
                <w:b/>
                <w:bCs/>
              </w:rPr>
              <w:t xml:space="preserve">prazan, bez GRO i instalacija</w:t>
            </w:r>
            <w:r>
              <w:t xml:space="preserve">; ulazna vrata 900 × 2000 mm na JUGOISTOČNOM (JI) zidu</w:t>
            </w:r>
          </w:p>
        </w:tc>
        <w:tc>
          <w:tcPr/>
          <w:p>
            <w:pPr>
              <w:pStyle w:val="Compact"/>
            </w:pPr>
            <w:r>
              <w:t xml:space="preserve">K2 3,00 × 2,30 m vanjski, zidni paneli 60 mm,</w:t>
            </w:r>
            <w:r>
              <w:t xml:space="preserve"> </w:t>
            </w:r>
            <w:r>
              <w:rPr>
                <w:b/>
                <w:bCs/>
              </w:rPr>
              <w:t xml:space="preserve">prazan, bez GRO i instalacija</w:t>
            </w:r>
            <w:r>
              <w:t xml:space="preserve">; ulazna vrata 1,00 × 2,15 m na SJEVEROZAPADNOM (SZ) zidu; na JUGOISTOČNOM (JI) zidu, u sredini, klima-uređaj Stulz WDE80 koji se demontira (Tačka 4.8)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Nosivost poda kontejnera</w:t>
            </w:r>
          </w:p>
        </w:tc>
        <w:tc>
          <w:tcPr/>
          <w:p>
            <w:pPr>
              <w:pStyle w:val="Compact"/>
            </w:pPr>
            <w:r>
              <w:t xml:space="preserve">10,00 kN/m² ukupno (g+p), ravnomjerno raspodijeljeno — ovjereni projekat lokacije, „04 AG dio”, tačka 4.4.2.3</w:t>
            </w:r>
          </w:p>
        </w:tc>
        <w:tc>
          <w:tcPr/>
          <w:p>
            <w:pPr>
              <w:pStyle w:val="Compact"/>
            </w:pPr>
            <w:r>
              <w:t xml:space="preserve">10,00 kN/m² ukupno (g+p) — ovjereni projekat lokacije, AG dio, tačka 4.4.2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 napajanja</w:t>
            </w:r>
          </w:p>
        </w:tc>
        <w:tc>
          <w:tcPr/>
          <w:p>
            <w:pPr>
              <w:pStyle w:val="Compact"/>
            </w:pPr>
            <w:r>
              <w:t xml:space="preserve">Huawei ICC360-HA1-C1 (PowerCube 1000) i MTS9302A, vanjski ormari smješteni uz SJEVEROISTOČNI (SI) zid kontejnera, u sjeni</w:t>
            </w:r>
          </w:p>
        </w:tc>
        <w:tc>
          <w:tcPr/>
          <w:p>
            <w:pPr>
              <w:pStyle w:val="Compact"/>
            </w:pPr>
            <w:r>
              <w:t xml:space="preserve">Huawei ICC360-HA1-C1 (PowerCube 1000) i MTS — zasebna nabavka Naručioca, kao na Sjednici; vanjski ormari na ploči sa JZ strane, iza FN polja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Uzemljenje</w:t>
            </w:r>
          </w:p>
        </w:tc>
        <w:tc>
          <w:tcPr/>
          <w:p>
            <w:pPr>
              <w:pStyle w:val="Compact"/>
            </w:pPr>
            <w:r>
              <w:t xml:space="preserve">postojeći prstenasti uzemljivač Fe/Zn 25 × 4 mm</w:t>
            </w:r>
          </w:p>
        </w:tc>
        <w:tc>
          <w:tcPr/>
          <w:p>
            <w:pPr>
              <w:pStyle w:val="Compact"/>
            </w:pPr>
            <w:r>
              <w:t xml:space="preserve">postojeći uzemljivač Fe/Zn 25 × 4 mm: prsten u temeljima stopa stuba i prsten na dubini 0,8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Orijentacija</w:t>
            </w:r>
          </w:p>
        </w:tc>
        <w:tc>
          <w:tcPr/>
          <w:p>
            <w:pPr>
              <w:pStyle w:val="Compact"/>
            </w:pPr>
            <w:r>
              <w:t xml:space="preserve">kompleks je zakrenut 45°: vrata JI, hladnjak agregata SZ, FN polje JZ, vanjski ormari SI; crteži su pravougaoni na kompleks, strelica pokazuje pravi sjever (S-01)</w:t>
            </w:r>
          </w:p>
        </w:tc>
        <w:tc>
          <w:tcPr/>
          <w:p>
            <w:pPr>
              <w:pStyle w:val="Compact"/>
            </w:pPr>
            <w:r>
              <w:t xml:space="preserve">kompleks je zakrenut 45°: vrata i kapija SZ, klima-uređaj Stulz i hladnjak agregata JI, FN polje JZ (H-01)</w:t>
            </w:r>
          </w:p>
        </w:tc>
      </w:tr>
    </w:tbl>
    <w:bookmarkStart w:id="9" w:name="klimatski-i-geotehnički-uslovi"/>
    <w:p>
      <w:pPr>
        <w:pStyle w:val="Heading3"/>
      </w:pPr>
      <w:r>
        <w:t xml:space="preserve">1.1 Klimatski i geotehnički uslovi</w:t>
      </w:r>
    </w:p>
    <w:p>
      <w:pPr>
        <w:pStyle w:val="FirstParagraph"/>
      </w:pPr>
      <w:r>
        <w:t xml:space="preserve">Dejstva vjetra, snijega i leda Ponuđač usvaja sam, za konkretnu lokaciju, prema</w:t>
      </w:r>
      <w:r>
        <w:t xml:space="preserve"> </w:t>
      </w:r>
      <w:r>
        <w:t xml:space="preserve">standardima iz Tačke 2 i ovjerenoj projektnoj dokumentaciji lokacije iz Priloga III.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Uticaj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Vjetar</w:t>
            </w:r>
          </w:p>
        </w:tc>
        <w:tc>
          <w:tcPr/>
          <w:p>
            <w:pPr>
              <w:pStyle w:val="Compact"/>
            </w:pPr>
            <w:r>
              <w:t xml:space="preserve">prema BAS EN 1991-1-4 + BiH NA, uključujući faktor orografije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Snijeg</w:t>
            </w:r>
          </w:p>
        </w:tc>
        <w:tc>
          <w:tcPr/>
          <w:p>
            <w:pPr>
              <w:pStyle w:val="Compact"/>
            </w:pPr>
            <w:r>
              <w:t xml:space="preserve">prema BAS EN 1991-1-3 + BiH NA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t xml:space="preserve">radijalni led prema ovjerenoj projektnoj dokumentaciji lokacije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t xml:space="preserve">−25 °C do +50 °C</w:t>
            </w:r>
          </w:p>
        </w:tc>
        <w:tc>
          <w:tcPr/>
          <w:p>
            <w:pPr>
              <w:pStyle w:val="Compact"/>
            </w:pPr>
            <w:r>
              <w:t xml:space="preserve">−25 °C do +50 °C; projektni ambijent +40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Gustina zraka</w:t>
            </w:r>
          </w:p>
        </w:tc>
        <w:tc>
          <w:tcPr/>
          <w:p>
            <w:pPr>
              <w:pStyle w:val="Compact"/>
            </w:pPr>
            <w:r>
              <w:t xml:space="preserve">1,04–1,09 kg/m³</w:t>
            </w:r>
          </w:p>
        </w:tc>
        <w:tc>
          <w:tcPr/>
          <w:p>
            <w:pPr>
              <w:pStyle w:val="Compact"/>
            </w:pPr>
            <w:r>
              <w:t xml:space="preserve">1,06–1,12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Tlo</w:t>
            </w:r>
          </w:p>
        </w:tc>
        <w:tc>
          <w:tcPr/>
          <w:p>
            <w:pPr>
              <w:pStyle w:val="Compact"/>
            </w:pPr>
            <w:r>
              <w:t xml:space="preserve">kamenito (krš); nosivost ≥100 kPa</w:t>
            </w:r>
          </w:p>
        </w:tc>
        <w:tc>
          <w:tcPr/>
          <w:p>
            <w:pPr>
              <w:pStyle w:val="Compact"/>
            </w:pPr>
            <w:r>
              <w:t xml:space="preserve">krš; σdop = 150 kPa, bez podzemne vode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Smrzavanje</w:t>
            </w:r>
          </w:p>
        </w:tc>
        <w:tc>
          <w:tcPr/>
          <w:p>
            <w:pPr>
              <w:pStyle w:val="Compact"/>
            </w:pPr>
            <w:r>
              <w:t xml:space="preserve">temeljna spojnica ispod dubine smrzavanja; Ponuđač navodi usvojenu dubinu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</w:tr>
    </w:tbl>
    <w:bookmarkEnd w:id="9"/>
    <w:bookmarkEnd w:id="10"/>
    <w:bookmarkStart w:id="11" w:name="referentni-standardi"/>
    <w:p>
      <w:pPr>
        <w:pStyle w:val="Heading2"/>
      </w:pPr>
      <w:r>
        <w:t xml:space="preserve">2. Referentni standardi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Oblast</w:t>
            </w:r>
          </w:p>
        </w:tc>
        <w:tc>
          <w:tcPr/>
          <w:p>
            <w:pPr>
              <w:pStyle w:val="Compact"/>
            </w:pPr>
            <w:r>
              <w:t xml:space="preserve">Standardi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Osnove proračuna</w:t>
            </w:r>
          </w:p>
        </w:tc>
        <w:tc>
          <w:tcPr/>
          <w:p>
            <w:pPr>
              <w:pStyle w:val="Compact"/>
            </w:pPr>
            <w:r>
              <w:t xml:space="preserve">BAS EN 1990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Dejstva</w:t>
            </w:r>
          </w:p>
        </w:tc>
        <w:tc>
          <w:tcPr/>
          <w:p>
            <w:pPr>
              <w:pStyle w:val="Compact"/>
            </w:pPr>
            <w:r>
              <w:t xml:space="preserve">BAS EN 1991-1-3 (snijeg), BAS EN 1991-1-4 (vjetar), sa BiH 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Beton i čelik</w:t>
            </w:r>
          </w:p>
        </w:tc>
        <w:tc>
          <w:tcPr/>
          <w:p>
            <w:pPr>
              <w:pStyle w:val="Compact"/>
            </w:pPr>
            <w:r>
              <w:t xml:space="preserve">BAS EN 1992-1-1, BAS EN 1993-1-1, BAS EN 206, EN 10025-2, EN 10219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Geotehnika</w:t>
            </w:r>
          </w:p>
        </w:tc>
        <w:tc>
          <w:tcPr/>
          <w:p>
            <w:pPr>
              <w:pStyle w:val="Compact"/>
            </w:pPr>
            <w:r>
              <w:t xml:space="preserve">BAS EN 1997-1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Izrada čeličnih konstrukcija</w:t>
            </w:r>
          </w:p>
        </w:tc>
        <w:tc>
          <w:tcPr/>
          <w:p>
            <w:pPr>
              <w:pStyle w:val="Compact"/>
            </w:pPr>
            <w:r>
              <w:t xml:space="preserve">EN 1090-1, EN 1090-2 (EXC2)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Antikorozivna zaštita</w:t>
            </w:r>
          </w:p>
        </w:tc>
        <w:tc>
          <w:tcPr/>
          <w:p>
            <w:pPr>
              <w:pStyle w:val="Compact"/>
            </w:pPr>
            <w:r>
              <w:t xml:space="preserve">EN ISO 1461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Elektroinstalacije</w:t>
            </w:r>
          </w:p>
        </w:tc>
        <w:tc>
          <w:tcPr/>
          <w:p>
            <w:pPr>
              <w:pStyle w:val="Compact"/>
            </w:pPr>
            <w:r>
              <w:t xml:space="preserve">IEC 60364 (tj. 60364-4-41), BAS EN 60529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Gromobranska zaštita</w:t>
            </w:r>
          </w:p>
        </w:tc>
        <w:tc>
          <w:tcPr/>
          <w:p>
            <w:pPr>
              <w:pStyle w:val="Compact"/>
            </w:pPr>
            <w:r>
              <w:t xml:space="preserve">EN 62305-1 do 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Prenaponska zaštita</w:t>
            </w:r>
          </w:p>
        </w:tc>
        <w:tc>
          <w:tcPr/>
          <w:p>
            <w:pPr>
              <w:pStyle w:val="Compact"/>
            </w:pPr>
            <w:r>
              <w:t xml:space="preserve">EN 61643-11, EN 61643-21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Fotonaponski sistemi</w:t>
            </w:r>
          </w:p>
        </w:tc>
        <w:tc>
          <w:tcPr/>
          <w:p>
            <w:pPr>
              <w:pStyle w:val="Compact"/>
            </w:pPr>
            <w:r>
              <w:t xml:space="preserve">IEC 62548, IEC 62852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Agregati</w:t>
            </w:r>
          </w:p>
        </w:tc>
        <w:tc>
          <w:tcPr/>
          <w:p>
            <w:pPr>
              <w:pStyle w:val="Compact"/>
            </w:pPr>
            <w:r>
              <w:t xml:space="preserve">ISO 8528-1, ISO 8528-3, ISO 3046-1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Zaštita od požara</w:t>
            </w:r>
          </w:p>
        </w:tc>
        <w:tc>
          <w:tcPr/>
          <w:p>
            <w:pPr>
              <w:pStyle w:val="Compact"/>
            </w:pPr>
            <w:r>
              <w:t xml:space="preserve">važeći propisi RS / FBiH / BiH; elaborat zaštite od požara za svaku lokaciju</w:t>
            </w:r>
          </w:p>
        </w:tc>
      </w:tr>
    </w:tbl>
    <w:p>
      <w:pPr>
        <w:pStyle w:val="BodyText"/>
      </w:pPr>
      <w:r>
        <w:rPr>
          <w:b/>
          <w:bCs/>
        </w:rPr>
        <w:t xml:space="preserve">Dokumentacija proizvođača opreme:</w:t>
      </w:r>
      <w:r>
        <w:t xml:space="preserve"> </w:t>
      </w:r>
      <w:r>
        <w:t xml:space="preserve">FG Wilson P18-6 (Skid) TDS 2019-08-14; Huawei</w:t>
      </w:r>
      <w:r>
        <w:t xml:space="preserve"> </w:t>
      </w:r>
      <w:r>
        <w:t xml:space="preserve">PV Module Solution User Manual; Huawei MTS9300A Telecom Power Installation Guide;</w:t>
      </w:r>
      <w:r>
        <w:t xml:space="preserve"> </w:t>
      </w:r>
      <w:r>
        <w:t xml:space="preserve">Huawei ICC360-HA1-C1 (PowerCube 1000) Installation Guide.</w:t>
      </w:r>
    </w:p>
    <w:p>
      <w:r>
        <w:pict>
          <v:rect style="width:0;height:1.5pt" o:hralign="center" o:hrstd="t" o:hr="t"/>
        </w:pict>
      </w:r>
    </w:p>
    <w:bookmarkEnd w:id="11"/>
    <w:bookmarkStart w:id="19" w:name="Xa0dc91b7ca1638c80d87278ee8640aa2944331c"/>
    <w:p>
      <w:pPr>
        <w:pStyle w:val="Heading2"/>
      </w:pPr>
      <w:r>
        <w:t xml:space="preserve">3. LOT 1 — Infrastruktura fotonaponskih panela (obje lokacije)</w:t>
      </w:r>
    </w:p>
    <w:p>
      <w:pPr>
        <w:pStyle w:val="FirstParagraph"/>
      </w:pPr>
      <w:r>
        <w:t xml:space="preserve">Nosači, temelji i uzemljenje su</w:t>
      </w:r>
      <w:r>
        <w:t xml:space="preserve"> </w:t>
      </w:r>
      <w:r>
        <w:rPr>
          <w:b/>
          <w:bCs/>
        </w:rPr>
        <w:t xml:space="preserve">isti na obje lokacije</w:t>
      </w:r>
      <w:r>
        <w:t xml:space="preserve">. Tačke 3.1–3.6 vrijede za obje;</w:t>
      </w:r>
      <w:r>
        <w:t xml:space="preserve"> </w:t>
      </w:r>
      <w:r>
        <w:t xml:space="preserve">razlike su u Tački 3.7.</w:t>
      </w:r>
    </w:p>
    <w:bookmarkStart w:id="12" w:name="konfiguracija"/>
    <w:p>
      <w:pPr>
        <w:pStyle w:val="Heading3"/>
      </w:pPr>
      <w:r>
        <w:t xml:space="preserve">3.1 Konfiguracija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 PV nosača</w:t>
            </w:r>
          </w:p>
        </w:tc>
        <w:tc>
          <w:tcPr/>
          <w:p>
            <w:pPr>
              <w:pStyle w:val="Compact"/>
            </w:pPr>
            <w:r>
              <w:t xml:space="preserve">4 odvojena nosača × 3 modula po lokaciji (ukupno 8 kom), u jednom nizu sa razmakom 400 mm, dužina niza 10 312 mm — odvojeni nosači umjesto jednog kontinuiranog polja, radi manjeg opterećenja vjetrom po nosaču (Naručilac 11.09.2026)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 PV stringova</w:t>
            </w:r>
          </w:p>
        </w:tc>
        <w:tc>
          <w:tcPr/>
          <w:p>
            <w:pPr>
              <w:pStyle w:val="Compact"/>
            </w:pPr>
            <w:r>
              <w:t xml:space="preserve">2 stringa × 6 modula (Voc ≈309 V, Imp 13,67 A) po lokaciji — po jedan string na svaku od dvije rute PVDB ormara; string se prostire preko dva nosača (PV-1 + PV-2, PV-3 + PV-4)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 PV modula</w:t>
            </w:r>
          </w:p>
        </w:tc>
        <w:tc>
          <w:tcPr/>
          <w:p>
            <w:pPr>
              <w:pStyle w:val="Compact"/>
            </w:pPr>
            <w:r>
              <w:t xml:space="preserve">12 × 585 Wp = 7,02 kWp po lokaciji; 3 modula po nosaču, 3 reda × 1 stupac, položeno (landscape)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 PV modula</w:t>
            </w:r>
          </w:p>
        </w:tc>
        <w:tc>
          <w:tcPr/>
          <w:p>
            <w:pPr>
              <w:pStyle w:val="Compact"/>
            </w:pPr>
            <w:r>
              <w:t xml:space="preserve">Huawei iPV585-M2A (2278 × 1134 × 30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Nagib</w:t>
            </w:r>
          </w:p>
        </w:tc>
        <w:tc>
          <w:tcPr/>
          <w:p>
            <w:pPr>
              <w:pStyle w:val="Compact"/>
            </w:pPr>
            <w:r>
              <w:t xml:space="preserve">fiksno 45°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Azimut</w:t>
            </w:r>
          </w:p>
        </w:tc>
        <w:tc>
          <w:tcPr/>
          <w:p>
            <w:pPr>
              <w:pStyle w:val="Compact"/>
            </w:pPr>
            <w:r>
              <w:t xml:space="preserve">225° (pravi JUGOZAPAD); niz paralelan sa JZ ogradom (Naručilac 11.09.2026)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Širina PV polja</w:t>
            </w:r>
          </w:p>
        </w:tc>
        <w:tc>
          <w:tcPr/>
          <w:p>
            <w:pPr>
              <w:pStyle w:val="Compact"/>
            </w:pPr>
            <w:r>
              <w:t xml:space="preserve">2278 mm (poprečna greda 2891 mm, bočni prepust 306,5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Dužina PV polja po nagibu</w:t>
            </w:r>
          </w:p>
        </w:tc>
        <w:tc>
          <w:tcPr/>
          <w:p>
            <w:pPr>
              <w:pStyle w:val="Compact"/>
            </w:pPr>
            <w:r>
              <w:t xml:space="preserve">3442 mm (3 × 1134 mm + 2 × 20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Horizontalna projekcija</w:t>
            </w:r>
          </w:p>
        </w:tc>
        <w:tc>
          <w:tcPr/>
          <w:p>
            <w:pPr>
              <w:pStyle w:val="Compact"/>
            </w:pPr>
            <w:r>
              <w:t xml:space="preserve">2434 mm pri 45°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Donja / gornja ivica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+0,50 m / +2,93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Površina izloženosti vjetru</w:t>
            </w:r>
          </w:p>
        </w:tc>
        <w:tc>
          <w:tcPr/>
          <w:p>
            <w:pPr>
              <w:pStyle w:val="Compact"/>
            </w:pPr>
            <w:r>
              <w:t xml:space="preserve">7,84 m² po nosaču</w:t>
            </w:r>
          </w:p>
        </w:tc>
      </w:tr>
    </w:tbl>
    <w:bookmarkEnd w:id="12"/>
    <w:bookmarkStart w:id="13" w:name="tehničko-rješenje-nosive-konstrukcije"/>
    <w:p>
      <w:pPr>
        <w:pStyle w:val="Heading3"/>
      </w:pPr>
      <w:r>
        <w:t xml:space="preserve">3.2 Tehničko rješenje nosive konstrukcije</w:t>
      </w:r>
    </w:p>
    <w:p>
      <w:pPr>
        <w:pStyle w:val="FirstParagraph"/>
      </w:pPr>
      <w:r>
        <w:t xml:space="preserve">Konstrukcija se ovom specifikacijom</w:t>
      </w:r>
      <w:r>
        <w:t xml:space="preserve"> </w:t>
      </w:r>
      <w:r>
        <w:rPr>
          <w:b/>
          <w:bCs/>
        </w:rPr>
        <w:t xml:space="preserve">ne zadaje</w:t>
      </w:r>
      <w:r>
        <w:t xml:space="preserve">. Ponuđač je obavezan da</w:t>
      </w:r>
      <w:r>
        <w:t xml:space="preserve"> </w:t>
      </w:r>
      <w:r>
        <w:rPr>
          <w:b/>
          <w:bCs/>
        </w:rPr>
        <w:t xml:space="preserve">uz ponudu</w:t>
      </w:r>
      <w:r>
        <w:t xml:space="preserve"> </w:t>
      </w:r>
      <w:r>
        <w:t xml:space="preserve">dostavi tehničko rješenje konstrukcije za prihvat fotonaponskih panela, za obje lokacije,</w:t>
      </w:r>
      <w:r>
        <w:t xml:space="preserve"> </w:t>
      </w:r>
      <w:r>
        <w:t xml:space="preserve">sa statičkim proračunom ovjerenim i potpisanim od ovlaštenog inženjera i sa specifikacijom</w:t>
      </w:r>
      <w:r>
        <w:t xml:space="preserve"> </w:t>
      </w:r>
      <w:r>
        <w:t xml:space="preserve">materijala (Tačka 5, dokaz 2).</w:t>
      </w:r>
    </w:p>
    <w:p>
      <w:pPr>
        <w:pStyle w:val="BodyText"/>
      </w:pPr>
      <w:r>
        <w:t xml:space="preserve">Dejstva (vjetar, snijeg, led) i sve projektne sile — podizanje, horizontalna sila, moment</w:t>
      </w:r>
      <w:r>
        <w:t xml:space="preserve"> </w:t>
      </w:r>
      <w:r>
        <w:t xml:space="preserve">prevrtanja i spreg po temeljnoj traci — usvaja i dokazuje Ponuđač za koncept konstrukcije</w:t>
      </w:r>
      <w:r>
        <w:t xml:space="preserve"> </w:t>
      </w:r>
      <w:r>
        <w:t xml:space="preserve">koji nudi.</w:t>
      </w:r>
      <w:r>
        <w:t xml:space="preserve"> </w:t>
      </w:r>
      <w:r>
        <w:rPr>
          <w:b/>
          <w:bCs/>
        </w:rPr>
        <w:t xml:space="preserve">Projektne vrijednosti se ne zadaju ovom specifikacijom.</w:t>
      </w:r>
    </w:p>
    <w:p>
      <w:pPr>
        <w:pStyle w:val="BodyText"/>
      </w:pPr>
      <w:r>
        <w:t xml:space="preserve">Statički proračun se dostavlja u sklopu tehničkog rješenja i uslov je za počinjanje radova.</w:t>
      </w:r>
      <w:r>
        <w:t xml:space="preserve"> </w:t>
      </w:r>
      <w:r>
        <w:t xml:space="preserve">Prije početka izvođenja radova tehničko rješenje mora biti pregledano i odobreno.</w:t>
      </w:r>
    </w:p>
    <w:p>
      <w:pPr>
        <w:pStyle w:val="BodyText"/>
      </w:pPr>
      <w:r>
        <w:t xml:space="preserve">Proračun se radi prema standardima iz Tačke 2, najmanje:</w:t>
      </w:r>
    </w:p>
    <w:p>
      <w:pPr>
        <w:pStyle w:val="Compact"/>
        <w:numPr>
          <w:ilvl w:val="0"/>
          <w:numId w:val="1001"/>
        </w:numPr>
      </w:pPr>
      <w:r>
        <w:t xml:space="preserve">BAS EN 1990 — osnove proračuna, uključujući dokaz na podizanje i prevrtanje</w:t>
      </w:r>
    </w:p>
    <w:p>
      <w:pPr>
        <w:pStyle w:val="Compact"/>
        <w:numPr>
          <w:ilvl w:val="0"/>
          <w:numId w:val="1001"/>
        </w:numPr>
      </w:pPr>
      <w:r>
        <w:t xml:space="preserve">BAS EN 1991-1-4 sa BiH nacionalnim aneksom — vjetar, uključujući faktor orografije</w:t>
      </w:r>
    </w:p>
    <w:p>
      <w:pPr>
        <w:pStyle w:val="Compact"/>
        <w:numPr>
          <w:ilvl w:val="0"/>
          <w:numId w:val="1001"/>
        </w:numPr>
      </w:pPr>
      <w:r>
        <w:t xml:space="preserve">BAS EN 1991-1-3 sa BiH nacionalnim aneksom — snijeg; radijalni led prema ovjerenoj</w:t>
      </w:r>
      <w:r>
        <w:t xml:space="preserve"> </w:t>
      </w:r>
      <w:r>
        <w:t xml:space="preserve">projektnoj dokumentaciji lokacije</w:t>
      </w:r>
    </w:p>
    <w:p>
      <w:pPr>
        <w:pStyle w:val="Compact"/>
        <w:numPr>
          <w:ilvl w:val="0"/>
          <w:numId w:val="1001"/>
        </w:numPr>
      </w:pPr>
      <w:r>
        <w:t xml:space="preserve">BAS EN 1993-1-1 — dimenzionisanje čelične konstrukcije; izvedba prema BAS EN 1090-2 (EXC2)</w:t>
      </w:r>
    </w:p>
    <w:p>
      <w:pPr>
        <w:pStyle w:val="Compact"/>
        <w:numPr>
          <w:ilvl w:val="0"/>
          <w:numId w:val="1001"/>
        </w:numPr>
      </w:pPr>
      <w:r>
        <w:t xml:space="preserve">BAS EN 1992-1-1 i BAS EN 1997-1 — temelji i geotehnički uslovi, uz dubinu smrzavanja</w:t>
      </w:r>
    </w:p>
    <w:p>
      <w:pPr>
        <w:pStyle w:val="FirstParagraph"/>
      </w:pPr>
      <w:r>
        <w:t xml:space="preserve">Napomena: za ovakvu konstrukciju mjerodavne su provjere na podizanje (uplift) i</w:t>
      </w:r>
      <w:r>
        <w:t xml:space="preserve"> </w:t>
      </w:r>
      <w:r>
        <w:t xml:space="preserve">prevrtanje, a ne nosivost tla.</w:t>
      </w:r>
    </w:p>
    <w:bookmarkEnd w:id="13"/>
    <w:bookmarkStart w:id="14" w:name="materijal-i-izrada-konstrukcije"/>
    <w:p>
      <w:pPr>
        <w:pStyle w:val="Heading3"/>
      </w:pPr>
      <w:r>
        <w:t xml:space="preserve">3.3 Materijal i izrada konstrukcije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Konstrukcijski čelik</w:t>
            </w:r>
          </w:p>
        </w:tc>
        <w:tc>
          <w:tcPr/>
          <w:p>
            <w:pPr>
              <w:pStyle w:val="Compact"/>
            </w:pPr>
            <w:r>
              <w:t xml:space="preserve">S275JR (S355JR za stubove) prema EN 10025-2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</w:t>
            </w:r>
          </w:p>
        </w:tc>
        <w:tc>
          <w:tcPr/>
          <w:p>
            <w:pPr>
              <w:pStyle w:val="Compact"/>
            </w:pPr>
            <w:r>
              <w:t xml:space="preserve">šuplji profili prema EN 10219; stubovi min. RHS 80 × 80 × 4, rigle min. RHS 60 × 40 × 3, ili presjek sa dokazano najmanje jednakim otpornim momentom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Antikorozivna zaštita</w:t>
            </w:r>
          </w:p>
        </w:tc>
        <w:tc>
          <w:tcPr/>
          <w:p>
            <w:pPr>
              <w:pStyle w:val="Compact"/>
            </w:pPr>
            <w:r>
              <w:t xml:space="preserve">vruće cinčanje prema EN ISO 1461, min. 70 µm lokalno / 85 µm srednje (C4)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Zavarivanje</w:t>
            </w:r>
          </w:p>
        </w:tc>
        <w:tc>
          <w:tcPr/>
          <w:p>
            <w:pPr>
              <w:pStyle w:val="Compact"/>
            </w:pPr>
            <w:r>
              <w:t xml:space="preserve">EN 1090-2, klasa izvedbe EXC2; zavarivači prema EN ISO 9606-1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Označavanje</w:t>
            </w:r>
          </w:p>
        </w:tc>
        <w:tc>
          <w:tcPr/>
          <w:p>
            <w:pPr>
              <w:pStyle w:val="Compact"/>
            </w:pPr>
            <w:r>
              <w:t xml:space="preserve">CE i izjava o svojstvima prema EN 1090-1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Konstrukcijski vijci</w:t>
            </w:r>
          </w:p>
        </w:tc>
        <w:tc>
          <w:tcPr/>
          <w:p>
            <w:pPr>
              <w:pStyle w:val="Compact"/>
            </w:pPr>
            <w:r>
              <w:t xml:space="preserve">M16 klase 8.8, cinčani, prema EN 15048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Pričvršćenje modula</w:t>
            </w:r>
          </w:p>
        </w:tc>
        <w:tc>
          <w:tcPr/>
          <w:p>
            <w:pPr>
              <w:pStyle w:val="Compact"/>
            </w:pPr>
            <w:r>
              <w:t xml:space="preserve">nehrđajući A2/A4; stezaljke za debljinu modula 30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Zaštita od krađe</w:t>
            </w:r>
          </w:p>
        </w:tc>
        <w:tc>
          <w:tcPr/>
          <w:p>
            <w:pPr>
              <w:pStyle w:val="Compact"/>
            </w:pPr>
            <w:r>
              <w:t xml:space="preserve">antitheft matice na stezaljkama modula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 pritezanja</w:t>
            </w:r>
          </w:p>
        </w:tc>
        <w:tc>
          <w:tcPr/>
          <w:p>
            <w:pPr>
              <w:pStyle w:val="Compact"/>
            </w:pPr>
            <w:r>
              <w:t xml:space="preserve">prema uputstvu proizvođača (45 N·m za Huawei)</w:t>
            </w:r>
          </w:p>
        </w:tc>
      </w:tr>
    </w:tbl>
    <w:bookmarkEnd w:id="14"/>
    <w:bookmarkStart w:id="15" w:name="sidrenje"/>
    <w:p>
      <w:pPr>
        <w:pStyle w:val="Heading3"/>
      </w:pPr>
      <w:r>
        <w:t xml:space="preserve">3.4 Sidrenje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hemijski (epoksidni/vinilesterski) anker M16 ili M20, sa ETA odobrenjem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Materijal</w:t>
            </w:r>
          </w:p>
        </w:tc>
        <w:tc>
          <w:tcPr/>
          <w:p>
            <w:pPr>
              <w:pStyle w:val="Compact"/>
            </w:pPr>
            <w:r>
              <w:t xml:space="preserve">vruće cinčan ili nehrđajući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</w:t>
            </w:r>
          </w:p>
        </w:tc>
        <w:tc>
          <w:tcPr/>
          <w:p>
            <w:pPr>
              <w:pStyle w:val="Compact"/>
            </w:pPr>
            <w:r>
              <w:t xml:space="preserve">min. 2 ankera po temeljnoj traci, odnosno 4 po nosaču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Nosivost i dubina ugradnje</w:t>
            </w:r>
          </w:p>
        </w:tc>
        <w:tc>
          <w:tcPr/>
          <w:p>
            <w:pPr>
              <w:pStyle w:val="Compact"/>
            </w:pPr>
            <w:r>
              <w:t xml:space="preserve">prema ETA za konkretnu podlogu (beton / stijena) i prema statičkom proračunu iz tehničkog rješenja Ponuđača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Projektne sile ankerisanja</w:t>
            </w:r>
          </w:p>
        </w:tc>
        <w:tc>
          <w:tcPr/>
          <w:p>
            <w:pPr>
              <w:pStyle w:val="Compact"/>
            </w:pPr>
            <w:r>
              <w:t xml:space="preserve">proizlaze iz koncepta konstrukcije koji Ponuđač nudi i iskazuju se i dokazuju u njegovom tehničkom rješenju i statičkom proračunu (Tačka 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Dokazivanje</w:t>
            </w:r>
          </w:p>
        </w:tc>
        <w:tc>
          <w:tcPr/>
          <w:p>
            <w:pPr>
              <w:pStyle w:val="Compact"/>
            </w:pPr>
            <w:r>
              <w:t xml:space="preserve">ispitivanje čupanjem (pull-out) na</w:t>
            </w:r>
            <w:r>
              <w:t xml:space="preserve"> </w:t>
            </w:r>
            <w:r>
              <w:rPr>
                <w:b/>
                <w:bCs/>
              </w:rPr>
              <w:t xml:space="preserve">min. 2 ankera po lokaciji</w:t>
            </w:r>
            <w:r>
              <w:t xml:space="preserve">, do 1,5 × projektne sile iz odobrenog tehničkog rješenja, uz zapisnik ovjeren od nadzornog organa</w:t>
            </w:r>
          </w:p>
        </w:tc>
      </w:tr>
    </w:tbl>
    <w:bookmarkEnd w:id="15"/>
    <w:bookmarkStart w:id="16" w:name="temelji-nosača"/>
    <w:p>
      <w:pPr>
        <w:pStyle w:val="Heading3"/>
      </w:pPr>
      <w:r>
        <w:t xml:space="preserve">3.5 Temelji nosača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Beton</w:t>
            </w:r>
          </w:p>
        </w:tc>
        <w:tc>
          <w:tcPr/>
          <w:p>
            <w:pPr>
              <w:pStyle w:val="Compact"/>
            </w:pPr>
            <w:r>
              <w:t xml:space="preserve">C30/37, klasa izloženosti XC4 + XF3, aerant 4–6 %, Dmax 16,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Podložni beton</w:t>
            </w:r>
          </w:p>
        </w:tc>
        <w:tc>
          <w:tcPr/>
          <w:p>
            <w:pPr>
              <w:pStyle w:val="Compact"/>
            </w:pPr>
            <w:r>
              <w:t xml:space="preserve">C12/15, d = 50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Armatura</w:t>
            </w:r>
          </w:p>
        </w:tc>
        <w:tc>
          <w:tcPr/>
          <w:p>
            <w:pPr>
              <w:pStyle w:val="Compact"/>
            </w:pPr>
            <w:r>
              <w:t xml:space="preserve">B500B, zaštitni sloj ≥50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Geometrija</w:t>
            </w:r>
          </w:p>
        </w:tc>
        <w:tc>
          <w:tcPr/>
          <w:p>
            <w:pPr>
              <w:pStyle w:val="Compact"/>
            </w:pPr>
            <w:r>
              <w:t xml:space="preserve">2 trake po nosaču (×4 nosača =</w:t>
            </w:r>
            <w:r>
              <w:t xml:space="preserve"> </w:t>
            </w:r>
            <w:r>
              <w:rPr>
                <w:b/>
                <w:bCs/>
              </w:rPr>
              <w:t xml:space="preserve">8 traka po lokaciji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500 × 2600 mm, jedinstvene širine po cijeloj dubini</w:t>
            </w:r>
            <w:r>
              <w:t xml:space="preserve"> </w:t>
            </w:r>
            <w:r>
              <w:t xml:space="preserve">(bez proširenja u dnu),</w:t>
            </w:r>
            <w:r>
              <w:t xml:space="preserve"> </w:t>
            </w:r>
            <w:r>
              <w:rPr>
                <w:b/>
                <w:bCs/>
              </w:rPr>
              <w:t xml:space="preserve">pune dubine 900 mm</w:t>
            </w:r>
            <w:r>
              <w:t xml:space="preserve">, razmak 1600 mm, upravno na niz (pravac JZ–SI)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Zapremina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1,170 m³ po traci → 9,36 m³ po lokaciji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Smještaj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IZVAN ograđenog platoa</w:t>
            </w:r>
            <w:r>
              <w:t xml:space="preserve">, na JZ strani ograde (Tačka 3.7)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Dubina smrzavanja</w:t>
            </w:r>
          </w:p>
        </w:tc>
        <w:tc>
          <w:tcPr/>
          <w:p>
            <w:pPr>
              <w:pStyle w:val="Compact"/>
            </w:pPr>
            <w:r>
              <w:t xml:space="preserve">temeljna spojnica ispod dubine smrzavanja; Ponuđač navodi vrijednost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Traka se betonira punom dubinom rova, jedinstvene širine.</w:t>
      </w:r>
      <w:r>
        <w:t xml:space="preserve"> </w:t>
      </w:r>
      <w:r>
        <w:t xml:space="preserve">Rov u stijeni siječe se</w:t>
      </w:r>
      <w:r>
        <w:t xml:space="preserve"> </w:t>
      </w:r>
      <w:r>
        <w:t xml:space="preserve">jednom širinom po cijeloj dubini — temelj širi u dnu nego u vrhu tražio bi potkopavanje i</w:t>
      </w:r>
      <w:r>
        <w:t xml:space="preserve"> </w:t>
      </w:r>
      <w:r>
        <w:t xml:space="preserve">na kršu nije izvodiv. Vlastita težina trake je dio dokaza sigurnosti na podizanje, koji</w:t>
      </w:r>
      <w:r>
        <w:t xml:space="preserve"> </w:t>
      </w:r>
      <w:r>
        <w:t xml:space="preserve">Ponuđač daje u svom statičkom proračunu. Pošto traka ispunjava rov,</w:t>
      </w:r>
      <w:r>
        <w:t xml:space="preserve"> </w:t>
      </w:r>
      <w:r>
        <w:rPr>
          <w:b/>
          <w:bCs/>
        </w:rPr>
        <w:t xml:space="preserve">zatrpavanja nema</w:t>
      </w:r>
      <w:r>
        <w:t xml:space="preserve"> </w:t>
      </w:r>
      <w:r>
        <w:t xml:space="preserve">i sav iskopani materijal se odvozi.</w:t>
      </w:r>
    </w:p>
    <w:bookmarkEnd w:id="16"/>
    <w:bookmarkStart w:id="17" w:name="uzemljenje-lot-1"/>
    <w:p>
      <w:pPr>
        <w:pStyle w:val="Heading3"/>
      </w:pPr>
      <w:r>
        <w:t xml:space="preserve">3.6 Uzemljenje (LOT 1)</w:t>
      </w:r>
    </w:p>
    <w:p>
      <w:pPr>
        <w:pStyle w:val="Compact"/>
        <w:numPr>
          <w:ilvl w:val="0"/>
          <w:numId w:val="1002"/>
        </w:numPr>
      </w:pPr>
      <w:r>
        <w:t xml:space="preserve">povezivanje</w:t>
      </w:r>
      <w:r>
        <w:t xml:space="preserve"> </w:t>
      </w:r>
      <w:r>
        <w:rPr>
          <w:b/>
          <w:bCs/>
        </w:rPr>
        <w:t xml:space="preserve">sva četiri nosača</w:t>
      </w:r>
      <w:r>
        <w:t xml:space="preserve"> </w:t>
      </w:r>
      <w:r>
        <w:t xml:space="preserve">na svakoj lokaciji na postojeći uzemljivač Fe/Zn 25 × 4 mm</w:t>
      </w:r>
    </w:p>
    <w:p>
      <w:pPr>
        <w:pStyle w:val="Compact"/>
        <w:numPr>
          <w:ilvl w:val="0"/>
          <w:numId w:val="1002"/>
        </w:numPr>
      </w:pPr>
      <w:r>
        <w:t xml:space="preserve">vodič: bakarno uže ≥50 mm² prema EN 62305-3, Tabela 7, otporno na UV i ukopavanje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NIJE dozvoljen</w:t>
      </w:r>
      <w:r>
        <w:t xml:space="preserve"> </w:t>
      </w:r>
      <w:r>
        <w:t xml:space="preserve">H07V-K 25 mm² (unutrašnji instalacioni vodič)</w:t>
      </w:r>
    </w:p>
    <w:p>
      <w:pPr>
        <w:pStyle w:val="Compact"/>
        <w:numPr>
          <w:ilvl w:val="0"/>
          <w:numId w:val="1002"/>
        </w:numPr>
      </w:pPr>
      <w:r>
        <w:t xml:space="preserve">bimetalni (Cu/Fe-Zn) ukrsni komadi otporni na galvansku koroziju</w:t>
      </w:r>
    </w:p>
    <w:p>
      <w:pPr>
        <w:pStyle w:val="Compact"/>
        <w:numPr>
          <w:ilvl w:val="0"/>
          <w:numId w:val="1002"/>
        </w:numPr>
      </w:pPr>
      <w:r>
        <w:t xml:space="preserve">kontinuitet spojeva ≤0,1 Ω; ukupni otpor uzemljenja ≤10 Ω</w:t>
      </w:r>
    </w:p>
    <w:p>
      <w:pPr>
        <w:pStyle w:val="Compact"/>
        <w:numPr>
          <w:ilvl w:val="0"/>
          <w:numId w:val="1002"/>
        </w:numPr>
      </w:pPr>
      <w:r>
        <w:t xml:space="preserve">DC kablovi na razmaku ≥0,5 m od odvoda gromobranske instalacije</w:t>
      </w:r>
    </w:p>
    <w:p>
      <w:pPr>
        <w:pStyle w:val="Compact"/>
        <w:numPr>
          <w:ilvl w:val="0"/>
          <w:numId w:val="1002"/>
        </w:numPr>
      </w:pPr>
      <w:r>
        <w:t xml:space="preserve">FN polja su na obje lokacije unutar zone zaštite antenskog stuba (metoda kotrljajuće</w:t>
      </w:r>
      <w:r>
        <w:t xml:space="preserve"> </w:t>
      </w:r>
      <w:r>
        <w:t xml:space="preserve">sfere, LPL I) — dodatne hvataljke nisu potrebne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Hamzići:</w:t>
      </w:r>
      <w:r>
        <w:t xml:space="preserve"> </w:t>
      </w:r>
      <w:r>
        <w:t xml:space="preserve">svih 8 temeljnih traka u JZ pojasu presijeca dva postojeća prstena uzemljivača Fe/Zn 25 × 4 mm</w:t>
      </w:r>
      <w:r>
        <w:t xml:space="preserve"> </w:t>
      </w:r>
      <w:r>
        <w:t xml:space="preserve">na dubini 0,8 m (1,05 m i 2,30 m od ivice ploče, ovjereni</w:t>
      </w:r>
      <w:r>
        <w:t xml:space="preserve"> </w:t>
      </w:r>
      <w:r>
        <w:rPr>
          <w:rStyle w:val="VerbatimChar"/>
        </w:rPr>
        <w:t xml:space="preserve">3.6.9 Plan uzemljivača</w:t>
      </w:r>
      <w:r>
        <w:t xml:space="preserve">).</w:t>
      </w:r>
      <w:r>
        <w:t xml:space="preserve"> </w:t>
      </w:r>
      <w:r>
        <w:t xml:space="preserve">Ponuđač ih locira i otkopava, pa ih premješta ispod ili oko trake ili premošćuje istim</w:t>
      </w:r>
      <w:r>
        <w:t xml:space="preserve"> </w:t>
      </w:r>
      <w:r>
        <w:t xml:space="preserve">materijalom — prsten se ne prekida trajno; otpor uzemljenja mjeri prije i poslije radova</w:t>
      </w:r>
    </w:p>
    <w:bookmarkEnd w:id="17"/>
    <w:bookmarkStart w:id="18" w:name="posebno-po-lokaciji"/>
    <w:p>
      <w:pPr>
        <w:pStyle w:val="Heading3"/>
      </w:pPr>
      <w:r>
        <w:t xml:space="preserve">3.7 Posebno po lokaciji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Kota ograde</w:t>
            </w:r>
          </w:p>
        </w:tc>
        <w:tc>
          <w:tcPr/>
          <w:p>
            <w:pPr>
              <w:pStyle w:val="Compact"/>
            </w:pPr>
            <w:r>
              <w:t xml:space="preserve">h = 2,10 m (ovjereni</w:t>
            </w:r>
            <w:r>
              <w:t xml:space="preserve"> </w:t>
            </w:r>
            <w:r>
              <w:rPr>
                <w:rStyle w:val="VerbatimChar"/>
              </w:rPr>
              <w:t xml:space="preserve">04 Ograda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 = 1,80 m od ploče (ovjereni</w:t>
            </w:r>
            <w:r>
              <w:t xml:space="preserve"> </w:t>
            </w:r>
            <w:r>
              <w:rPr>
                <w:rStyle w:val="VerbatimChar"/>
              </w:rPr>
              <w:t xml:space="preserve">04_Ograda</w:t>
            </w:r>
            <w:r>
              <w:t xml:space="preserve">); teren oko ploče je na −0,20 m, pa je ograda 2,00 m iznad terena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Nadvišenje ograde</w:t>
            </w:r>
          </w:p>
        </w:tc>
        <w:tc>
          <w:tcPr/>
          <w:p>
            <w:pPr>
              <w:pStyle w:val="Compact"/>
            </w:pPr>
            <w:r>
              <w:t xml:space="preserve">0,83 m</w:t>
            </w:r>
          </w:p>
        </w:tc>
        <w:tc>
          <w:tcPr/>
          <w:p>
            <w:pPr>
              <w:pStyle w:val="Compact"/>
            </w:pPr>
            <w:r>
              <w:t xml:space="preserve">0,93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Raspoloživi prostor</w:t>
            </w:r>
          </w:p>
        </w:tc>
        <w:tc>
          <w:tcPr/>
          <w:p>
            <w:pPr>
              <w:pStyle w:val="Compact"/>
            </w:pPr>
            <w:r>
              <w:t xml:space="preserve">na JZ strani ograde, unutar zakupljene parcele 16,00 × 9,40 m; niz 10 312 mm</w:t>
            </w:r>
          </w:p>
        </w:tc>
        <w:tc>
          <w:tcPr/>
          <w:p>
            <w:pPr>
              <w:pStyle w:val="Compact"/>
            </w:pPr>
            <w:r>
              <w:t xml:space="preserve">pojas na JZ strani ploče dubine 3300 mm i dužine 12,50 m, unutar zakupa 12,00 × 12,50 m — projekcija polja 2434 mm i trake 2600 mm staju sa po 350 mm od granice zakupa i od ploče; niz 10 312 mm centriran na ploču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Položaj nosača</w:t>
            </w:r>
          </w:p>
        </w:tc>
        <w:tc>
          <w:tcPr/>
          <w:p>
            <w:pPr>
              <w:pStyle w:val="Compact"/>
            </w:pPr>
            <w:r>
              <w:t xml:space="preserve">niz paralelan sa JZ ogradom; Ponuđač utvrđuje odmak od ograde tako da ravan panela nigdje ne dodiruje ogradu, a konstrukcija ostane unutar parcele</w:t>
            </w:r>
          </w:p>
        </w:tc>
        <w:tc>
          <w:tcPr/>
          <w:p>
            <w:pPr>
              <w:pStyle w:val="Compact"/>
            </w:pPr>
            <w:r>
              <w:t xml:space="preserve">nosači okrenuti na JZ (azimut 225°), niz paralelan sa granicom zakupa; iza niza, na ploči sa JZ strane, stoje vanjski ormari ICC360-HA1-C1 i MTS (0,85 m slobodno ispred njih); položaj potvrđuje Ponuđač geodetskim snimanjem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Prepreke</w:t>
            </w:r>
          </w:p>
        </w:tc>
        <w:tc>
          <w:tcPr/>
          <w:p>
            <w:pPr>
              <w:pStyle w:val="Compact"/>
            </w:pPr>
            <w:r>
              <w:t xml:space="preserve">nema</w:t>
            </w:r>
          </w:p>
        </w:tc>
        <w:tc>
          <w:tcPr/>
          <w:p>
            <w:pPr>
              <w:pStyle w:val="Compact"/>
            </w:pPr>
            <w:r>
              <w:t xml:space="preserve">listopadno stablo JJI–JI od stuba (≈7–9 m, 15–20 m, izvan zakupa) zasjenjuje polje samo u zimskim jutrima (do ≈2 % decembarske proizvodnje; polje okrenuto na JZ ga uglavnom izbjegava); stablo se ne uklanja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Grafički prilozi</w:t>
            </w:r>
          </w:p>
        </w:tc>
        <w:tc>
          <w:tcPr/>
          <w:p>
            <w:pPr>
              <w:pStyle w:val="Compact"/>
            </w:pPr>
            <w:r>
              <w:t xml:space="preserve">S-01, S-02, S-03</w:t>
            </w:r>
          </w:p>
        </w:tc>
        <w:tc>
          <w:tcPr/>
          <w:p>
            <w:pPr>
              <w:pStyle w:val="Compact"/>
            </w:pPr>
            <w:r>
              <w:t xml:space="preserve">H-01, H-02, H-03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49" w:name="Xa623a428715cd96038377c7061703278bc74d49"/>
    <w:p>
      <w:pPr>
        <w:pStyle w:val="Heading2"/>
      </w:pPr>
      <w:r>
        <w:t xml:space="preserve">4. LOT 2 — Dizel električni agregat i instalacije (obje lokacije)</w:t>
      </w:r>
    </w:p>
    <w:p>
      <w:pPr>
        <w:pStyle w:val="FirstParagraph"/>
      </w:pPr>
      <w:r>
        <w:t xml:space="preserve">Na svakoj lokaciji se u postojeći kontejner ugrađuje po jedan agregat sa spremnikom</w:t>
      </w:r>
      <w:r>
        <w:t xml:space="preserve"> </w:t>
      </w:r>
      <w:r>
        <w:t xml:space="preserve">goriva. Tačke 4.1–4.7 i 4.9 vrijede za obje lokacije; raspored otvora, izduv i</w:t>
      </w:r>
      <w:r>
        <w:t xml:space="preserve"> </w:t>
      </w:r>
      <w:r>
        <w:t xml:space="preserve">instalacije razlikuju se po lokaciji i dati su u Tačkama 4.3–4.5; Tačka 4.8 je samo za</w:t>
      </w:r>
      <w:r>
        <w:t xml:space="preserve"> </w:t>
      </w:r>
      <w:r>
        <w:t xml:space="preserve">Hamziće.</w:t>
      </w:r>
    </w:p>
    <w:bookmarkStart w:id="26" w:name="agregat"/>
    <w:p>
      <w:pPr>
        <w:pStyle w:val="Heading3"/>
      </w:pPr>
      <w:r>
        <w:t xml:space="preserve">4.1 Agregat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Zahtjev / referentna vrijednost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Snaga</w:t>
            </w:r>
          </w:p>
        </w:tc>
        <w:tc>
          <w:tcPr/>
          <w:p>
            <w:pPr>
              <w:pStyle w:val="Compact"/>
            </w:pPr>
            <w:r>
              <w:t xml:space="preserve">18 kVA / 14,4 kW standby, 400/230 V, 50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Referentni tip</w:t>
            </w:r>
          </w:p>
        </w:tc>
        <w:tc>
          <w:tcPr/>
          <w:p>
            <w:pPr>
              <w:pStyle w:val="Compact"/>
            </w:pPr>
            <w:r>
              <w:t xml:space="preserve">FG Wilson P18-6 ili ekvivalent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Perkins 404D-22G1 ili ekvivalent, 4-cilindarski, 2,2 l, 1500 o/min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Izvedba</w:t>
            </w:r>
          </w:p>
        </w:tc>
        <w:tc>
          <w:tcPr/>
          <w:p>
            <w:pPr>
              <w:pStyle w:val="Compact"/>
            </w:pPr>
            <w:r>
              <w:t xml:space="preserve">za montažu u prostor (skid, bez vlastitog kućišta)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Dimenzije</w:t>
            </w:r>
          </w:p>
        </w:tc>
        <w:tc>
          <w:tcPr/>
          <w:p>
            <w:pPr>
              <w:pStyle w:val="Compact"/>
            </w:pPr>
            <w:r>
              <w:t xml:space="preserve">1550 × 620 × 1020 mm (referentno ±5 %)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Masa</w:t>
            </w:r>
          </w:p>
        </w:tc>
        <w:tc>
          <w:tcPr/>
          <w:p>
            <w:pPr>
              <w:pStyle w:val="Compact"/>
            </w:pPr>
            <w:r>
              <w:t xml:space="preserve">365 kg suho / 372 kg mokro (referentno)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Derating</w:t>
            </w:r>
          </w:p>
        </w:tc>
        <w:tc>
          <w:tcPr/>
          <w:p>
            <w:pPr>
              <w:pStyle w:val="Compact"/>
            </w:pPr>
            <w:r>
              <w:t xml:space="preserve">snaga prema ISO 3046-1 za nadmorsku visinu lokacije (Sjednica 1076 m n.v., Hamzići 493 m n.v.) i temperaturu okoline do +40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Uzbuda</w:t>
            </w:r>
          </w:p>
        </w:tc>
        <w:tc>
          <w:tcPr/>
          <w:p>
            <w:pPr>
              <w:pStyle w:val="Compact"/>
            </w:pPr>
            <w:r>
              <w:t xml:space="preserve">nezavisna pobuda —</w:t>
            </w:r>
            <w:r>
              <w:t xml:space="preserve"> </w:t>
            </w:r>
            <w:r>
              <w:rPr>
                <w:b/>
                <w:bCs/>
              </w:rPr>
              <w:t xml:space="preserve">PMG ili AREP/AUX</w:t>
            </w:r>
            <w:r>
              <w:t xml:space="preserve"> </w:t>
            </w:r>
            <w:r>
              <w:t xml:space="preserve">namotaj; trajna struja kratkog spoja</w:t>
            </w:r>
            <w:r>
              <w:t xml:space="preserve"> </w:t>
            </w:r>
            <w:r>
              <w:rPr>
                <w:b/>
                <w:bCs/>
              </w:rPr>
              <w:t xml:space="preserve">≥3 × In (≈78 A)</w:t>
            </w:r>
            <w:r>
              <w:t xml:space="preserve"> </w:t>
            </w:r>
            <w:r>
              <w:t xml:space="preserve">u trajanju ≥10 s prema ISO 8528-3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Antivibracioni elementi</w:t>
            </w:r>
          </w:p>
        </w:tc>
        <w:tc>
          <w:tcPr/>
          <w:p>
            <w:pPr>
              <w:pStyle w:val="Compact"/>
            </w:pPr>
            <w:r>
              <w:t xml:space="preserve">gumeno-metalni oslonci, vlastita frekvencija ≤8 Hz, statički progib ≥5 mm, između skida i roštilja iz Tačke 4.2;</w:t>
            </w:r>
            <w:r>
              <w:t xml:space="preserve"> </w:t>
            </w:r>
            <w:r>
              <w:rPr>
                <w:b/>
                <w:bCs/>
              </w:rPr>
              <w:t xml:space="preserve">svi priključci na motor elastični</w:t>
            </w:r>
            <w:r>
              <w:t xml:space="preserve"> </w:t>
            </w:r>
            <w:r>
              <w:t xml:space="preserve">— izduv, hladnjak i</w:t>
            </w:r>
            <w:r>
              <w:t xml:space="preserve"> </w:t>
            </w:r>
            <w:r>
              <w:rPr>
                <w:b/>
                <w:bCs/>
              </w:rPr>
              <w:t xml:space="preserve">oba voda goriva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Hladni start</w:t>
            </w:r>
          </w:p>
        </w:tc>
        <w:tc>
          <w:tcPr/>
          <w:p>
            <w:pPr>
              <w:pStyle w:val="Compact"/>
            </w:pPr>
            <w:r>
              <w:t xml:space="preserve">predgrijač rashladne tečnosti na DC, napojen iz DC razvoda −48 V (Tačka 4.5), koji uključuje kontroler agregata prije starta pri niskoj temperaturi; pomoćna sredstva za hladni start prema proizvođaču; zimsko dizel gorivo prema EN 590</w:t>
            </w:r>
          </w:p>
        </w:tc>
      </w:tr>
    </w:tbl>
    <w:p>
      <w:pPr>
        <w:pStyle w:val="CaptionedFigure"/>
      </w:pPr>
      <w:r>
        <w:drawing>
          <wp:inline>
            <wp:extent cx="3665220" cy="3023806"/>
            <wp:effectExtent b="0" l="0" r="0" t="0"/>
            <wp:docPr descr="Slika 1 — FG Wilson P18-6 (Skid), bočni pogled (ilustrativno)" title="" id="21" name="Picture"/>
            <a:graphic>
              <a:graphicData uri="http://schemas.openxmlformats.org/drawingml/2006/picture">
                <pic:pic>
                  <pic:nvPicPr>
                    <pic:cNvPr descr="../TD-OUTPUT/grafika/prilog1/agregat-bocn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02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 — FG Wilson P18-6 (Skid), bočni pogled (ilustrativno)</w:t>
      </w:r>
    </w:p>
    <w:p>
      <w:pPr>
        <w:pStyle w:val="CaptionedFigure"/>
      </w:pPr>
      <w:r>
        <w:drawing>
          <wp:inline>
            <wp:extent cx="2565654" cy="3754615"/>
            <wp:effectExtent b="0" l="0" r="0" t="0"/>
            <wp:docPr descr="Slika 2 — FG Wilson P18-6 (Skid), čeoni pogled (generator) (ilustrativno)" title="" id="24" name="Picture"/>
            <a:graphic>
              <a:graphicData uri="http://schemas.openxmlformats.org/drawingml/2006/picture">
                <pic:pic>
                  <pic:nvPicPr>
                    <pic:cNvPr descr="../TD-OUTPUT/grafika/prilog1/agregat-celni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54" cy="375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 — FG Wilson P18-6 (Skid), čeoni pogled (generator) (ilustrativno)</w:t>
      </w:r>
    </w:p>
    <w:bookmarkEnd w:id="26"/>
    <w:bookmarkStart w:id="33" w:name="spremnik-goriva-i-oslanjanje-opreme"/>
    <w:p>
      <w:pPr>
        <w:pStyle w:val="Heading3"/>
      </w:pPr>
      <w:r>
        <w:t xml:space="preserve">4.2 Spremnik goriva i oslanjanje opreme</w:t>
      </w:r>
    </w:p>
    <w:p>
      <w:pPr>
        <w:pStyle w:val="Compact"/>
        <w:numPr>
          <w:ilvl w:val="0"/>
          <w:numId w:val="1003"/>
        </w:numPr>
      </w:pPr>
      <w:r>
        <w:t xml:space="preserve">metalni,</w:t>
      </w:r>
      <w:r>
        <w:t xml:space="preserve"> </w:t>
      </w:r>
      <w:r>
        <w:rPr>
          <w:b/>
          <w:bCs/>
        </w:rPr>
        <w:t xml:space="preserve">dvoplašni</w:t>
      </w:r>
      <w:r>
        <w:t xml:space="preserve">, zapremine</w:t>
      </w:r>
      <w:r>
        <w:t xml:space="preserve"> </w:t>
      </w:r>
      <w:r>
        <w:rPr>
          <w:b/>
          <w:bCs/>
        </w:rPr>
        <w:t xml:space="preserve">500 l</w:t>
      </w:r>
      <w:r>
        <w:t xml:space="preserve">, sa nivo sondom i detekcijom curenja</w:t>
      </w:r>
      <w:r>
        <w:t xml:space="preserve"> </w:t>
      </w:r>
      <w:r>
        <w:t xml:space="preserve">goriva u međuplaštu</w:t>
      </w:r>
    </w:p>
    <w:p>
      <w:pPr>
        <w:pStyle w:val="Compact"/>
        <w:numPr>
          <w:ilvl w:val="0"/>
          <w:numId w:val="1003"/>
        </w:numPr>
      </w:pPr>
      <w:r>
        <w:t xml:space="preserve">referentne dimenzije 1050 × 600 × 1310 mm, masa prazan cca 170 kg (pun ≈590 kg)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OBAVEZAN čelični ram/roštilj za raznošenje opterećenja</w:t>
      </w:r>
      <w:r>
        <w:t xml:space="preserve"> </w:t>
      </w:r>
      <w:r>
        <w:t xml:space="preserve">pod DEA i pod koritom sa</w:t>
      </w:r>
      <w:r>
        <w:t xml:space="preserve"> </w:t>
      </w:r>
      <w:r>
        <w:t xml:space="preserve">spremnikom, sa prenosom opterećenja na primarne nosače podne konstrukcije</w:t>
      </w:r>
    </w:p>
    <w:p>
      <w:pPr>
        <w:pStyle w:val="Compact"/>
        <w:numPr>
          <w:ilvl w:val="0"/>
          <w:numId w:val="1003"/>
        </w:numPr>
      </w:pPr>
      <w:r>
        <w:t xml:space="preserve">ispod spremnika se izvodi</w:t>
      </w:r>
      <w:r>
        <w:t xml:space="preserve"> </w:t>
      </w:r>
      <w:r>
        <w:rPr>
          <w:b/>
          <w:bCs/>
        </w:rPr>
        <w:t xml:space="preserve">prihvatno korito (kada) 1150 × 640 mm, visina ruba</w:t>
      </w:r>
      <w:r>
        <w:rPr>
          <w:b/>
          <w:bCs/>
        </w:rPr>
        <w:t xml:space="preserve"> </w:t>
      </w:r>
      <w:r>
        <w:rPr>
          <w:b/>
          <w:bCs/>
        </w:rPr>
        <w:t xml:space="preserve">200 mm</w:t>
      </w:r>
      <w:r>
        <w:t xml:space="preserve">, za prihvat kapanja i prosipanja, sa vidljivim najnižim mjestom za kontrolu</w:t>
      </w:r>
      <w:r>
        <w:t xml:space="preserve"> </w:t>
      </w:r>
      <w:r>
        <w:t xml:space="preserve">i pražnjenje</w:t>
      </w:r>
    </w:p>
    <w:p>
      <w:pPr>
        <w:pStyle w:val="Compact"/>
        <w:numPr>
          <w:ilvl w:val="0"/>
          <w:numId w:val="1003"/>
        </w:numPr>
      </w:pPr>
      <w:r>
        <w:t xml:space="preserve">vanjski priključak za tankanje sa zaštitom od statičkog elektriciteta i</w:t>
      </w:r>
      <w:r>
        <w:t xml:space="preserve"> </w:t>
      </w:r>
      <w:r>
        <w:t xml:space="preserve">sprječavanjem prelijevanja</w:t>
      </w:r>
    </w:p>
    <w:p>
      <w:pPr>
        <w:pStyle w:val="Compact"/>
        <w:numPr>
          <w:ilvl w:val="0"/>
          <w:numId w:val="1003"/>
        </w:numPr>
      </w:pPr>
      <w:r>
        <w:t xml:space="preserve">odušna cijev izvan kontejnera, sa plamenobranom, udaljena ≥3 m od izduva i usisa</w:t>
      </w:r>
      <w:r>
        <w:t xml:space="preserve"> </w:t>
      </w:r>
      <w:r>
        <w:t xml:space="preserve">zraka</w:t>
      </w:r>
    </w:p>
    <w:p>
      <w:pPr>
        <w:pStyle w:val="Compact"/>
        <w:numPr>
          <w:ilvl w:val="0"/>
          <w:numId w:val="1003"/>
        </w:numPr>
      </w:pPr>
      <w:r>
        <w:t xml:space="preserve">protupožarni ventil na izlazu iz spremnika (topljivi osigurač ili solenoid),</w:t>
      </w:r>
      <w:r>
        <w:t xml:space="preserve"> </w:t>
      </w:r>
      <w:r>
        <w:t xml:space="preserve">aktiviran požarom i E-STOP-om</w:t>
      </w:r>
    </w:p>
    <w:p>
      <w:pPr>
        <w:pStyle w:val="Compact"/>
        <w:numPr>
          <w:ilvl w:val="0"/>
          <w:numId w:val="1003"/>
        </w:numPr>
      </w:pPr>
      <w:r>
        <w:t xml:space="preserve">napajanje motora gorivom Cu cijevima NO 8 mm (polazni i povratni vod), sa</w:t>
      </w:r>
      <w:r>
        <w:t xml:space="preserve"> </w:t>
      </w:r>
      <w:r>
        <w:rPr>
          <w:b/>
          <w:bCs/>
        </w:rPr>
        <w:t xml:space="preserve">fleksibilnim umetkom na oba voda neposredno uz motor</w:t>
      </w:r>
    </w:p>
    <w:p>
      <w:pPr>
        <w:pStyle w:val="Compact"/>
        <w:numPr>
          <w:ilvl w:val="0"/>
          <w:numId w:val="1003"/>
        </w:numPr>
      </w:pPr>
      <w:r>
        <w:t xml:space="preserve">sifon protiv povratnog toka</w:t>
      </w:r>
    </w:p>
    <w:p>
      <w:pPr>
        <w:pStyle w:val="CaptionedFigure"/>
      </w:pPr>
      <w:r>
        <w:drawing>
          <wp:inline>
            <wp:extent cx="3359785" cy="3355157"/>
            <wp:effectExtent b="0" l="0" r="0" t="0"/>
            <wp:docPr descr="Slika 3 — Spremnik goriva 500 l, bočni izgled (ilustrativno)" title="" id="28" name="Picture"/>
            <a:graphic>
              <a:graphicData uri="http://schemas.openxmlformats.org/drawingml/2006/picture">
                <pic:pic>
                  <pic:nvPicPr>
                    <pic:cNvPr descr="../TD-OUTPUT/grafika/prilog1/spremnik-bocni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335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 — Spremnik goriva 500 l, bočni izgled (ilustrativno)</w:t>
      </w:r>
    </w:p>
    <w:p>
      <w:pPr>
        <w:pStyle w:val="CaptionedFigure"/>
      </w:pPr>
      <w:r>
        <w:drawing>
          <wp:inline>
            <wp:extent cx="3787394" cy="2482742"/>
            <wp:effectExtent b="0" l="0" r="0" t="0"/>
            <wp:docPr descr="Slika 4 — Spremnik goriva 500 l, pogled od vrha (ilustrativno)" title="" id="31" name="Picture"/>
            <a:graphic>
              <a:graphicData uri="http://schemas.openxmlformats.org/drawingml/2006/picture">
                <pic:pic>
                  <pic:nvPicPr>
                    <pic:cNvPr descr="../TD-OUTPUT/grafika/prilog1/spremnik-odozg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394" cy="248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 — Spremnik goriva 500 l, pogled od vrha (ilustrativno)</w:t>
      </w:r>
    </w:p>
    <w:bookmarkEnd w:id="33"/>
    <w:bookmarkStart w:id="42" w:name="ventilacija-i-hlađenje"/>
    <w:p>
      <w:pPr>
        <w:pStyle w:val="Heading3"/>
      </w:pPr>
      <w:r>
        <w:t xml:space="preserve">4.3 Ventilacija i hlađenje</w:t>
      </w:r>
    </w:p>
    <w:p>
      <w:pPr>
        <w:pStyle w:val="FirstParagraph"/>
      </w:pPr>
      <w:r>
        <w:t xml:space="preserve">Dimenzionisano prema tehničkom listu proizvođača. Mjerodavno ograničenje je</w:t>
      </w:r>
      <w:r>
        <w:t xml:space="preserve"> </w:t>
      </w:r>
      <w:r>
        <w:rPr>
          <w:b/>
          <w:bCs/>
        </w:rPr>
        <w:t xml:space="preserve">maksimalni vanjski otpor strujanju zraka od 125 Pa</w:t>
      </w:r>
      <w:r>
        <w:t xml:space="preserve"> </w:t>
      </w:r>
      <w:r>
        <w:t xml:space="preserve">za cjelokupnu putanju.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Vrijednost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Zrak hladnjaka</w:t>
            </w:r>
          </w:p>
        </w:tc>
        <w:tc>
          <w:tcPr/>
          <w:p>
            <w:pPr>
              <w:pStyle w:val="Compact"/>
            </w:pPr>
            <w:r>
              <w:t xml:space="preserve">1980 m³/h (33 m³/min) — ostvaruje vlastiti ventilator hladnjaka; korigovano na gustinu lokacije: Sjednica 2151 m³/h, Hamzići 2206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Zrak za sagorijevanje</w:t>
            </w:r>
          </w:p>
        </w:tc>
        <w:tc>
          <w:tcPr/>
          <w:p>
            <w:pPr>
              <w:pStyle w:val="Compact"/>
            </w:pPr>
            <w:r>
              <w:t xml:space="preserve">90 m³/h; max. otpor usisa 3 kPa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Maks. vanjski otpor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 Pa</w:t>
            </w:r>
            <w:r>
              <w:t xml:space="preserve"> </w:t>
            </w:r>
            <w:r>
              <w:t xml:space="preserve">(ukupno: usis + kanal + izlaz)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Toplota u prostor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5,8 kW</w:t>
            </w:r>
            <w:r>
              <w:t xml:space="preserve"> </w:t>
            </w:r>
            <w:r>
              <w:t xml:space="preserve">(uz 15,2 kW odvedenih rashladnom tečnošću i uljem)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Usisna žaluzina</w:t>
            </w:r>
          </w:p>
        </w:tc>
        <w:tc>
          <w:tcPr/>
          <w:p>
            <w:pPr>
              <w:pStyle w:val="Compact"/>
            </w:pPr>
            <w:r>
              <w:t xml:space="preserve">500 × 700 mm (v ≈ 3,6 m/s, Δp ≈ 18 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Izlaz toplog zraka</w:t>
            </w:r>
          </w:p>
        </w:tc>
        <w:tc>
          <w:tcPr/>
          <w:p>
            <w:pPr>
              <w:pStyle w:val="Compact"/>
            </w:pPr>
            <w:r>
              <w:t xml:space="preserve">slobodna površina ≥0,18 m² (bruto ≥0,36 m², npr. 600 × 600 mm; v ≈ 3,5 m/s)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</w:t>
            </w:r>
          </w:p>
        </w:tc>
        <w:tc>
          <w:tcPr/>
          <w:p>
            <w:pPr>
              <w:pStyle w:val="Compact"/>
            </w:pPr>
            <w:r>
              <w:t xml:space="preserve">1200 m³/h, Ø315,</w:t>
            </w:r>
            <w:r>
              <w:t xml:space="preserve"> </w:t>
            </w:r>
            <w:r>
              <w:rPr>
                <w:b/>
                <w:bCs/>
              </w:rPr>
              <w:t xml:space="preserve">48 V DC (EC)</w:t>
            </w:r>
            <w:r>
              <w:t xml:space="preserve">, napajan sa DC razvoda −48 V (Tačka 4.5); vođen termostatom dok agregat ne radi (i za hlađenje nakon zaustavljanja); kontroler DEA ga isključuje dok agregat radi, jer tada prostor ventilira struja zraka hladnjaka; blokiran sa aktiviranjem gašenja požara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Provjera</w:t>
            </w:r>
          </w:p>
        </w:tc>
        <w:tc>
          <w:tcPr/>
          <w:p>
            <w:pPr>
              <w:pStyle w:val="Compact"/>
            </w:pPr>
            <w:r>
              <w:t xml:space="preserve">Izvođač dostavlja proračun pada pritiska ukupne putanje za svaku lokaciju</w:t>
            </w:r>
          </w:p>
        </w:tc>
      </w:tr>
    </w:tbl>
    <w:p>
      <w:pPr>
        <w:pStyle w:val="BodyText"/>
      </w:pPr>
      <w:r>
        <w:t xml:space="preserve">Otvori se izvode kroz</w:t>
      </w:r>
      <w:r>
        <w:t xml:space="preserve"> </w:t>
      </w:r>
      <w:r>
        <w:rPr>
          <w:b/>
          <w:bCs/>
        </w:rPr>
        <w:t xml:space="preserve">ZIDNE PANELE</w:t>
      </w:r>
      <w:r>
        <w:t xml:space="preserve"> </w:t>
      </w:r>
      <w:r>
        <w:t xml:space="preserve">kontejnera. Raspored je ukrsni. Nije dozvoljeno</w:t>
      </w:r>
      <w:r>
        <w:t xml:space="preserve"> </w:t>
      </w:r>
      <w:r>
        <w:t xml:space="preserve">izvesti usis, izlaz i izduv na istom zidu, niti dovod zraka kroz ulazna vrata.</w:t>
      </w:r>
    </w:p>
    <w:bookmarkStart w:id="37" w:name="a-raspored-otvora-bs-sjednica-crtež-m-01"/>
    <w:p>
      <w:pPr>
        <w:pStyle w:val="Heading4"/>
      </w:pPr>
      <w:r>
        <w:t xml:space="preserve">4.3.A Raspored otvora — BS Sjednica (crtež M-01)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Zid i položaj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Usisna žaluzina 500 × 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SJEVEROISTOČNI (SI) zid, jugoistočni kraj</w:t>
            </w:r>
            <w:r>
              <w:t xml:space="preserve">; donja ivica +0,30 m od poda. SI strana je zasjenjena i daje najhladniji usisni zrak; žaluzina se postavlja jugoistočno od vanjskih ormara ICC360-HA1-C1/MTS9302A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Kanal hladnjaka + izlazna žaluzina 600 × 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SJEVEROZAPADNI (SZ) zid</w:t>
            </w:r>
            <w:r>
              <w:t xml:space="preserve">, na osi hladnjaka agregata; kanal najkraćim putem od hladnjaka kroz zid,</w:t>
            </w:r>
            <w:r>
              <w:t xml:space="preserve"> </w:t>
            </w:r>
            <w:r>
              <w:rPr>
                <w:b/>
                <w:bCs/>
              </w:rPr>
              <w:t xml:space="preserve">razvijena površina ≈1,0 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Izduv</w:t>
            </w:r>
          </w:p>
        </w:tc>
        <w:tc>
          <w:tcPr/>
          <w:p>
            <w:pPr>
              <w:pStyle w:val="Compact"/>
            </w:pPr>
            <w:r>
              <w:t xml:space="preserve">uz</w:t>
            </w:r>
            <w:r>
              <w:t xml:space="preserve"> </w:t>
            </w:r>
            <w:r>
              <w:rPr>
                <w:b/>
                <w:bCs/>
              </w:rPr>
              <w:t xml:space="preserve">SZ zid</w:t>
            </w:r>
            <w:r>
              <w:t xml:space="preserve">, završetak iznad krova (Tačka 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Odušna cijev spremnika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JUGOZAPADNI (JZ) zid</w:t>
            </w:r>
            <w:r>
              <w:t xml:space="preserve">, jugoistočni kraj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 Ø315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JUGOISTOČNI (JI) zid</w:t>
            </w:r>
            <w:r>
              <w:t xml:space="preserve">, gore (donja ivica ≈+1,75 m), sjeveroistočno od ulaznih vrata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Minimalna razdaljina</w:t>
            </w:r>
          </w:p>
        </w:tc>
        <w:tc>
          <w:tcPr/>
          <w:p>
            <w:pPr>
              <w:pStyle w:val="Compact"/>
            </w:pPr>
            <w:r>
              <w:t xml:space="preserve">≥3 m prostorno između usisa zraka, izduva i odušne cijevi</w:t>
            </w:r>
          </w:p>
        </w:tc>
      </w:tr>
    </w:tbl>
    <w:p>
      <w:pPr>
        <w:pStyle w:val="BodyText"/>
      </w:pPr>
      <w:r>
        <w:t xml:space="preserve">Ukrsno strujanje</w:t>
      </w:r>
      <w:r>
        <w:t xml:space="preserve"> </w:t>
      </w:r>
      <w:r>
        <w:rPr>
          <w:b/>
          <w:bCs/>
        </w:rPr>
        <w:t xml:space="preserve">usis SI → agregat → izlaz SZ</w:t>
      </w:r>
      <w:r>
        <w:t xml:space="preserve">. Nije dozvoljeno usmjeriti topli</w:t>
      </w:r>
      <w:r>
        <w:t xml:space="preserve"> </w:t>
      </w:r>
      <w:r>
        <w:t xml:space="preserve">zrak ili izduv prema SI strani, gdje su vanjski ormari i usis svježeg zraka.</w:t>
      </w:r>
    </w:p>
    <w:p>
      <w:pPr>
        <w:pStyle w:val="CaptionedFigure"/>
      </w:pPr>
      <w:r>
        <w:drawing>
          <wp:inline>
            <wp:extent cx="6108700" cy="4318218"/>
            <wp:effectExtent b="0" l="0" r="0" t="0"/>
            <wp:docPr descr="Slika 5 — BS Sjednica: raspored opreme i otvora u kontejneru, crtež M-01 (Prilog III)" title="" id="35" name="Picture"/>
            <a:graphic>
              <a:graphicData uri="http://schemas.openxmlformats.org/drawingml/2006/picture">
                <pic:pic>
                  <pic:nvPicPr>
                    <pic:cNvPr descr="../TD-OUTPUT/grafika/prilog1/m01-raspor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8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5 — BS Sjednica: raspored opreme i otvora u kontejneru, crtež M-01 (Prilog III)</w:t>
      </w:r>
    </w:p>
    <w:bookmarkEnd w:id="37"/>
    <w:bookmarkStart w:id="41" w:name="b-raspored-otvora-bs-hamzići-crtež-h-04"/>
    <w:p>
      <w:pPr>
        <w:pStyle w:val="Heading4"/>
      </w:pPr>
      <w:r>
        <w:t xml:space="preserve">4.3.B Raspored otvora — BS Hamzići (crtež H-04)</w:t>
      </w:r>
    </w:p>
    <w:p>
      <w:pPr>
        <w:pStyle w:val="FirstParagraph"/>
      </w:pPr>
      <w:r>
        <w:t xml:space="preserve">Izlaz toplog zraka hladnjaka ide kroz</w:t>
      </w:r>
      <w:r>
        <w:t xml:space="preserve"> </w:t>
      </w:r>
      <w:r>
        <w:rPr>
          <w:b/>
          <w:bCs/>
        </w:rPr>
        <w:t xml:space="preserve">postojeće otvore klima-uređaja Stulz</w:t>
      </w:r>
      <w:r>
        <w:t xml:space="preserve"> </w:t>
      </w:r>
      <w:r>
        <w:t xml:space="preserve">u</w:t>
      </w:r>
      <w:r>
        <w:t xml:space="preserve"> </w:t>
      </w:r>
      <w:r>
        <w:t xml:space="preserve">sredini jugoistočnog (JI) zida (Tačka 4.8). Projekat klimatizacije iz 2017. predviđa dva otvora</w:t>
      </w:r>
      <w:r>
        <w:t xml:space="preserve"> </w:t>
      </w:r>
      <w:r>
        <w:t xml:space="preserve">300 × 700 mm; stvarne otvore ugrađenog uređaja Ponuđač mjeri pri obilasku.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Zid i položaj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Usisna žaluzina 500 × 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SJEVEROISTOČNI (SI) zid</w:t>
            </w:r>
            <w:r>
              <w:t xml:space="preserve">, novi otvor uz alternator (SZ kraj agregata), neposredno jugoistočno od korita spremnika; donja ivica +0,30 m od poda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Plenum hladnjaka + izlaz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JUGOISTOČNI (JI) zid, u sredini</w:t>
            </w:r>
            <w:r>
              <w:t xml:space="preserve"> </w:t>
            </w:r>
            <w:r>
              <w:t xml:space="preserve">— kroz postojeće otvore klima-uređaja Stulz, spojene/proširene na</w:t>
            </w:r>
            <w:r>
              <w:t xml:space="preserve"> </w:t>
            </w:r>
            <w:r>
              <w:rPr>
                <w:b/>
                <w:bCs/>
              </w:rPr>
              <w:t xml:space="preserve">≥0,36 m² bruto</w:t>
            </w:r>
            <w:r>
              <w:t xml:space="preserve">, sa fiksnom žaluzinom; nekorišteni dio otvora zatvara se sendvič panelom 60 mm iste izvedbe kao zid; plenum od pocinčanog lima, razvijena površina ≈1,5 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Hauba</w:t>
            </w:r>
          </w:p>
        </w:tc>
        <w:tc>
          <w:tcPr/>
          <w:p>
            <w:pPr>
              <w:pStyle w:val="Compact"/>
            </w:pPr>
            <w:r>
              <w:t xml:space="preserve">vani na JI zidu, 700 × 600 mm, od pocinčanog lima, zatvorenih bočnih strana i dna, sa rešetkom na vrhu (≈+1,30 m): topli zrak ide</w:t>
            </w:r>
            <w:r>
              <w:t xml:space="preserve"> </w:t>
            </w:r>
            <w:r>
              <w:rPr>
                <w:b/>
                <w:bCs/>
              </w:rPr>
              <w:t xml:space="preserve">NAVIŠE</w:t>
            </w:r>
            <w:r>
              <w:t xml:space="preserve">, dalje od FN polja (JZ strana) i od ormara Huawei; ≥1,0 m od nogu stuba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Izduv</w:t>
            </w:r>
          </w:p>
        </w:tc>
        <w:tc>
          <w:tcPr/>
          <w:p>
            <w:pPr>
              <w:pStyle w:val="Compact"/>
            </w:pPr>
            <w:r>
              <w:t xml:space="preserve">iz JZ prolaza kroz</w:t>
            </w:r>
            <w:r>
              <w:t xml:space="preserve"> </w:t>
            </w:r>
            <w:r>
              <w:rPr>
                <w:b/>
                <w:bCs/>
              </w:rPr>
              <w:t xml:space="preserve">JUGOISTOČNI (JI) zid</w:t>
            </w:r>
            <w:r>
              <w:t xml:space="preserve">, jugozapadno od haube, horizontalno na ≈+2,30 m, ispod platforme stuba; prigušivač u JZ prolazu; završetak ≥0,40 m od zida (Tačka 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Agregat</w:t>
            </w:r>
          </w:p>
        </w:tc>
        <w:tc>
          <w:tcPr/>
          <w:p>
            <w:pPr>
              <w:pStyle w:val="Compact"/>
            </w:pPr>
            <w:r>
              <w:t xml:space="preserve">duža osa</w:t>
            </w:r>
            <w:r>
              <w:t xml:space="preserve"> </w:t>
            </w:r>
            <w:r>
              <w:rPr>
                <w:b/>
                <w:bCs/>
              </w:rPr>
              <w:t xml:space="preserve">SZ–JI</w:t>
            </w:r>
            <w:r>
              <w:t xml:space="preserve">, u sredini kontejnera, hladnjak na JI; prolazi po 0,78 m na SI i JZ strani (u JZ prolazu su izduv i prigušivač), SZ kraj 0,97 m do GRO — Ponuđač potvrđuje da su servisne tačke agregata dostupne sa SI strane i SZ kraja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Spremnik 500 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  <w:r>
              <w:t xml:space="preserve"> </w:t>
            </w:r>
            <w:r>
              <w:rPr>
                <w:b/>
                <w:bCs/>
              </w:rPr>
              <w:t xml:space="preserve">SJEVERNOM uglu</w:t>
            </w:r>
            <w:r>
              <w:t xml:space="preserve"> </w:t>
            </w:r>
            <w:r>
              <w:t xml:space="preserve">(SZ × SI zid, prema pravom sjeveru — Naručilac 11.09.2026), uz SZ kraj agregata; od vrata do korita ostaje 0,945 m slobodnog prolaza za unos agregata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Odušna cijev spremnika</w:t>
            </w:r>
          </w:p>
        </w:tc>
        <w:tc>
          <w:tcPr/>
          <w:p>
            <w:pPr>
              <w:pStyle w:val="Compact"/>
            </w:pPr>
            <w:r>
              <w:t xml:space="preserve">principijelno kroz</w:t>
            </w:r>
            <w:r>
              <w:t xml:space="preserve"> </w:t>
            </w:r>
            <w:r>
              <w:rPr>
                <w:b/>
                <w:bCs/>
              </w:rPr>
              <w:t xml:space="preserve">SJEVEROZAPADNI (SZ) zid</w:t>
            </w:r>
            <w:r>
              <w:t xml:space="preserve">, sjeveroistočno od ulaznih vrata, pa stojećom cijevi između kontejnera i SZ ograde, izvan krila vrata, završetak na +2,80 m; ≥3 m od završetka izduva i od usisne žaluzine, ≥1 m od ormara Huawei; konačno prema elaboratu zaštite od požara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 Ø315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JUGOISTOČNI (JI) zid</w:t>
            </w:r>
            <w:r>
              <w:t xml:space="preserve">, gore, sjeveroistočno od haube;</w:t>
            </w:r>
            <w:r>
              <w:t xml:space="preserve"> </w:t>
            </w:r>
            <w:r>
              <w:rPr>
                <w:b/>
                <w:bCs/>
              </w:rPr>
              <w:t xml:space="preserve">izvlačni</w:t>
            </w:r>
            <w:r>
              <w:t xml:space="preserve"> </w:t>
            </w:r>
            <w:r>
              <w:t xml:space="preserve">(izbacuje zrak iz prostora)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SJEVEROZAPADNI (SZ) zid</w:t>
            </w:r>
            <w:r>
              <w:t xml:space="preserve">, jugozapadno od ulaznih vrata; raspoloživi zid je 0,595 m, pa je</w:t>
            </w:r>
            <w:r>
              <w:t xml:space="preserve"> </w:t>
            </w:r>
            <w:r>
              <w:rPr>
                <w:b/>
                <w:bCs/>
              </w:rPr>
              <w:t xml:space="preserve">širina GRO ≤0,50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razvod −48 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SZ zid</w:t>
            </w:r>
            <w:r>
              <w:t xml:space="preserve">, sjeveroistočno od ulaznih vrata, iznad spremnika (≈300 × 200 × 150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Huawei ICC360-HA1-C1 i MTS</w:t>
            </w:r>
          </w:p>
        </w:tc>
        <w:tc>
          <w:tcPr/>
          <w:p>
            <w:pPr>
              <w:pStyle w:val="Compact"/>
            </w:pPr>
            <w:r>
              <w:t xml:space="preserve">vanjski ormari na ploči sa JZ strane kontejnera, između dvije JZ noge stuba, iza FN polja i u njegovoj sjeni; vrata prema kontejneru, 0,85 m slobodno ispred ormara; napajanje iz GRO (izvod F1) i −48 V kroz JZ zid; kratka DC trasa od FN polja do PVDB uz ICC360; tip i mjere MTS potvrđuje Naručilac (principijelno)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Minimalna razdaljina</w:t>
            </w:r>
          </w:p>
        </w:tc>
        <w:tc>
          <w:tcPr/>
          <w:p>
            <w:pPr>
              <w:pStyle w:val="Compact"/>
            </w:pPr>
            <w:r>
              <w:t xml:space="preserve">≥3 m prostorno između usisne žaluzine, završetka izduva i odušne cijevi (H-04: završetak izduva–usis 3,25 m); izvlačni ventilator je izlazni otvor i ne ulazi u ovaj uslov</w:t>
            </w:r>
          </w:p>
        </w:tc>
      </w:tr>
    </w:tbl>
    <w:p>
      <w:pPr>
        <w:pStyle w:val="BodyText"/>
      </w:pPr>
      <w:r>
        <w:t xml:space="preserve">Ukrsno strujanje</w:t>
      </w:r>
      <w:r>
        <w:t xml:space="preserve"> </w:t>
      </w:r>
      <w:r>
        <w:rPr>
          <w:b/>
          <w:bCs/>
        </w:rPr>
        <w:t xml:space="preserve">usis SI → agregat → izlaz JI, hauba naviše</w:t>
      </w:r>
      <w:r>
        <w:t xml:space="preserve">; hladnjak agregata je</w:t>
      </w:r>
      <w:r>
        <w:t xml:space="preserve"> </w:t>
      </w:r>
      <w:r>
        <w:t xml:space="preserve">uz JI zid, na mjestu otvora klima-uređaja, a hauba topli zrak usmjerava naviše. Izduv</w:t>
      </w:r>
      <w:r>
        <w:t xml:space="preserve"> </w:t>
      </w:r>
      <w:r>
        <w:t xml:space="preserve">izlazi na JI strani, jugozapadno od haube, dalje od ulaznih vrata (SZ), od usisa (SI) i</w:t>
      </w:r>
      <w:r>
        <w:t xml:space="preserve"> </w:t>
      </w:r>
      <w:r>
        <w:t xml:space="preserve">od ormara (JZ). Mjere otvora Stulz se uzimaju pri obilasku, pa je raspored na crtežu H-04 principijelan —</w:t>
      </w:r>
      <w:r>
        <w:t xml:space="preserve"> </w:t>
      </w:r>
      <w:r>
        <w:t xml:space="preserve">Ponuđač ga potvrđuje na licu mjesta.</w:t>
      </w:r>
    </w:p>
    <w:p>
      <w:pPr>
        <w:pStyle w:val="CaptionedFigure"/>
      </w:pPr>
      <w:r>
        <w:drawing>
          <wp:inline>
            <wp:extent cx="6108700" cy="4318218"/>
            <wp:effectExtent b="0" l="0" r="0" t="0"/>
            <wp:docPr descr="Slika 6 — BS Hamzići: raspored opreme i otvora u kontejneru, crtež H-04 (Prilog III)" title="" id="39" name="Picture"/>
            <a:graphic>
              <a:graphicData uri="http://schemas.openxmlformats.org/drawingml/2006/picture">
                <pic:pic>
                  <pic:nvPicPr>
                    <pic:cNvPr descr="../TD-OUTPUT/grafika/prilog1/h04-raspore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8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6 — BS Hamzići: raspored opreme i otvora u kontejneru, crtež H-04 (Prilog III)</w:t>
      </w:r>
    </w:p>
    <w:bookmarkEnd w:id="41"/>
    <w:bookmarkEnd w:id="42"/>
    <w:bookmarkStart w:id="43" w:name="izduvni-sistem"/>
    <w:p>
      <w:pPr>
        <w:pStyle w:val="Heading3"/>
      </w:pPr>
      <w:r>
        <w:t xml:space="preserve">4.4 Izduvni sistem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Vrijednost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Protok izduvnih gasova</w:t>
            </w:r>
          </w:p>
        </w:tc>
        <w:tc>
          <w:tcPr/>
          <w:p>
            <w:pPr>
              <w:pStyle w:val="Compact"/>
            </w:pPr>
            <w:r>
              <w:t xml:space="preserve">192 m³/h (3,2 m³/min) pri 413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Maks. dozvoljeni protutlak</w:t>
            </w:r>
          </w:p>
        </w:tc>
        <w:tc>
          <w:tcPr/>
          <w:p>
            <w:pPr>
              <w:pStyle w:val="Compact"/>
            </w:pPr>
            <w:r>
              <w:t xml:space="preserve">10,2 kPa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Dijametar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50</w:t>
            </w:r>
            <w:r>
              <w:t xml:space="preserve"> </w:t>
            </w:r>
            <w:r>
              <w:t xml:space="preserve">— pri 192 m³/h i 413 °C brzina je 27,2 m/s (&lt; 30 m/s), protutlak ≈1,9 kPa (Sjednica) i ≈1,6 kPa (Hamzići) uz dozvoljenih 10,2 kPa. Prečnik određuje brzina, ne protutlak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Prigušivač</w:t>
            </w:r>
          </w:p>
        </w:tc>
        <w:tc>
          <w:tcPr/>
          <w:p>
            <w:pPr>
              <w:pStyle w:val="Compact"/>
            </w:pPr>
            <w:r>
              <w:t xml:space="preserve">industrijski;</w:t>
            </w:r>
            <w:r>
              <w:t xml:space="preserve"> </w:t>
            </w:r>
            <w:r>
              <w:rPr>
                <w:b/>
                <w:bCs/>
              </w:rPr>
              <w:t xml:space="preserve">hvatač iskri obavezan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Fleksibilni priključak</w:t>
            </w:r>
          </w:p>
        </w:tc>
        <w:tc>
          <w:tcPr/>
          <w:p>
            <w:pPr>
              <w:pStyle w:val="Compact"/>
            </w:pPr>
            <w:r>
              <w:t xml:space="preserve">neposredno iza motora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Izolacija</w:t>
            </w:r>
          </w:p>
        </w:tc>
        <w:tc>
          <w:tcPr/>
          <w:p>
            <w:pPr>
              <w:pStyle w:val="Compact"/>
            </w:pPr>
            <w:r>
              <w:t xml:space="preserve">kamena vuna d = 50 mm + Al lim d = 1 mm; boja otporna na 600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Provjera</w:t>
            </w:r>
          </w:p>
        </w:tc>
        <w:tc>
          <w:tcPr/>
          <w:p>
            <w:pPr>
              <w:pStyle w:val="Compact"/>
            </w:pPr>
            <w:r>
              <w:t xml:space="preserve">Ponuđač dostavlja proračun protutlaka za svaku lokaciju</w:t>
            </w:r>
          </w:p>
        </w:tc>
      </w:tr>
    </w:tbl>
    <w:p/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Trasa i završetak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Trasa</w:t>
            </w:r>
          </w:p>
        </w:tc>
        <w:tc>
          <w:tcPr/>
          <w:p>
            <w:pPr>
              <w:pStyle w:val="Compact"/>
            </w:pPr>
            <w:r>
              <w:t xml:space="preserve">1 m od elastičnog umetka do prigušivača sa jednim lukom 90°; do 4 m od prigušivača do izlaza, uspon uz</w:t>
            </w:r>
            <w:r>
              <w:t xml:space="preserve"> </w:t>
            </w:r>
            <w:r>
              <w:rPr>
                <w:b/>
                <w:bCs/>
              </w:rPr>
              <w:t xml:space="preserve">SZ zid</w:t>
            </w:r>
            <w:r>
              <w:t xml:space="preserve"> </w:t>
            </w:r>
            <w:r>
              <w:t xml:space="preserve">kontejnera</w:t>
            </w:r>
          </w:p>
        </w:tc>
        <w:tc>
          <w:tcPr/>
          <w:p>
            <w:pPr>
              <w:pStyle w:val="Compact"/>
            </w:pPr>
            <w:r>
              <w:t xml:space="preserve">≈1 m do prigušivača u JZ prolazu, zatim ≈1,5 m do</w:t>
            </w:r>
            <w:r>
              <w:t xml:space="preserve"> </w:t>
            </w:r>
            <w:r>
              <w:rPr>
                <w:b/>
                <w:bCs/>
              </w:rPr>
              <w:t xml:space="preserve">JI zida</w:t>
            </w:r>
            <w:r>
              <w:t xml:space="preserve"> </w:t>
            </w:r>
            <w:r>
              <w:t xml:space="preserve">i horizontalno kroz njega na visini ≈+2,30 m, sa termoizolacionom čahurom u prolazu kroz zid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Završetak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iznad krova, usmjeren naviše</w:t>
            </w:r>
            <w:r>
              <w:t xml:space="preserve">, sa kapom protiv upada padavina, ≥3 m od usisa zraka i odušne cijevi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horizontalno, usmjeren na JI</w:t>
            </w:r>
            <w:r>
              <w:t xml:space="preserve">, ≥0,40 m od zida, ispod platforme stuba (+3,0 m) koja je iznad krova kontejnera — završetak iznad krova nije moguć; kapa protiv padavina, ≥3 m od usisa zraka i odušne cijevi; ne usmjeravati na noge stuba ni kablove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Izolacija</w:t>
            </w:r>
          </w:p>
        </w:tc>
        <w:tc>
          <w:tcPr/>
          <w:p>
            <w:pPr>
              <w:pStyle w:val="Compact"/>
            </w:pPr>
            <w:r>
              <w:t xml:space="preserve">≈3,0 m²</w:t>
            </w:r>
          </w:p>
        </w:tc>
        <w:tc>
          <w:tcPr/>
          <w:p>
            <w:pPr>
              <w:pStyle w:val="Compact"/>
            </w:pPr>
            <w:r>
              <w:t xml:space="preserve">≈2,5 m²</w:t>
            </w:r>
          </w:p>
        </w:tc>
      </w:tr>
    </w:tbl>
    <w:bookmarkEnd w:id="43"/>
    <w:bookmarkStart w:id="44" w:name="elektroinstalacije-i-zaštite"/>
    <w:p>
      <w:pPr>
        <w:pStyle w:val="Heading3"/>
      </w:pPr>
      <w:r>
        <w:t xml:space="preserve">4.5 Elektroinstalacije i zaštite</w:t>
      </w:r>
    </w:p>
    <w:p>
      <w:pPr>
        <w:pStyle w:val="FirstParagraph"/>
      </w:pPr>
      <w:r>
        <w:t xml:space="preserve">Zahtijeva se</w:t>
      </w:r>
      <w:r>
        <w:t xml:space="preserve"> </w:t>
      </w:r>
      <w:r>
        <w:rPr>
          <w:b/>
          <w:bCs/>
        </w:rPr>
        <w:t xml:space="preserve">NEZAVISNA POBUDA</w:t>
      </w:r>
      <w:r>
        <w:t xml:space="preserve"> </w:t>
      </w:r>
      <w:r>
        <w:t xml:space="preserve">generatora (PMG ili AREP/AUX) sa 3 × In u trajanju</w:t>
      </w:r>
      <w:r>
        <w:t xml:space="preserve"> </w:t>
      </w:r>
      <w:r>
        <w:t xml:space="preserve">≥10 s (Tačka 4.1), kao i zaštita zaštitnom strujnom sklopkom (RCD) kao glavnim</w:t>
      </w:r>
      <w:r>
        <w:t xml:space="preserve"> </w:t>
      </w:r>
      <w:r>
        <w:t xml:space="preserve">sredstvom zaštite od indirektnog dodira.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Nazivna struja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= 26,0 A</w:t>
            </w:r>
            <w:r>
              <w:t xml:space="preserve"> </w:t>
            </w:r>
            <w:r>
              <w:t xml:space="preserve">pri 18 kVA / 400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Struja kvara (PMG/AREP)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≥78 A (3 × In) trajno ≥10 s — ZAHTIJEVANO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 zaštite</w:t>
            </w:r>
          </w:p>
        </w:tc>
        <w:tc>
          <w:tcPr/>
          <w:p>
            <w:pPr>
              <w:pStyle w:val="Compact"/>
            </w:pPr>
            <w:r>
              <w:t xml:space="preserve">TN-S, jedinstvena tačka spajanja N i PE u novom 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Glavna zaštita</w:t>
            </w:r>
          </w:p>
        </w:tc>
        <w:tc>
          <w:tcPr/>
          <w:p>
            <w:pPr>
              <w:pStyle w:val="Compact"/>
            </w:pPr>
            <w:r>
              <w:t xml:space="preserve">4p RCD 63 A / 300 mA, S-tip (selektivna)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Krajnji strujni krugovi</w:t>
            </w:r>
          </w:p>
        </w:tc>
        <w:tc>
          <w:tcPr/>
          <w:p>
            <w:pPr>
              <w:pStyle w:val="Compact"/>
            </w:pPr>
            <w:r>
              <w:t xml:space="preserve">RCBO 16 A / 30 mA, tip A (utičnice, rasvjeta)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Sklopka izvora</w:t>
            </w:r>
          </w:p>
        </w:tc>
        <w:tc>
          <w:tcPr/>
          <w:p>
            <w:pPr>
              <w:pStyle w:val="Compact"/>
            </w:pPr>
            <w:r>
              <w:t xml:space="preserve">4p 63 A, položaji 1 – agregat / 0 – isključeno / 2 – rezerva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SPD, AC strana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 1 + 2</w:t>
            </w:r>
            <w:r>
              <w:t xml:space="preserve"> </w:t>
            </w:r>
            <w:r>
              <w:t xml:space="preserve">(Iimp ≥12,5 kA) — objekti imaju vanjski 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SPD, DC strana</w:t>
            </w:r>
          </w:p>
        </w:tc>
        <w:tc>
          <w:tcPr/>
          <w:p>
            <w:pPr>
              <w:pStyle w:val="Compact"/>
            </w:pPr>
            <w:r>
              <w:t xml:space="preserve">tip 2 po stringu (Iimp ≥5 kA, Ucpv ≥425 V), na PVDB i na polju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SPD, signalni vodovi</w:t>
            </w:r>
          </w:p>
        </w:tc>
        <w:tc>
          <w:tcPr/>
          <w:p>
            <w:pPr>
              <w:pStyle w:val="Compact"/>
            </w:pPr>
            <w:r>
              <w:t xml:space="preserve">prema EN 61643-21 (obavezno za stubove h = 38 m i h = 32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kablovi</w:t>
            </w:r>
          </w:p>
        </w:tc>
        <w:tc>
          <w:tcPr/>
          <w:p>
            <w:pPr>
              <w:pStyle w:val="Compact"/>
            </w:pPr>
            <w:r>
              <w:t xml:space="preserve">bezhalogeni, CPR ≥ Cca-s1b,d1,a1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kablovi</w:t>
            </w:r>
          </w:p>
        </w:tc>
        <w:tc>
          <w:tcPr/>
          <w:p>
            <w:pPr>
              <w:pStyle w:val="Compact"/>
            </w:pPr>
            <w:r>
              <w:t xml:space="preserve">H1Z2Z2-K 6 mm²; priključak na iSSU presjekom 4 mm²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Otpor uzemljenja</w:t>
            </w:r>
          </w:p>
        </w:tc>
        <w:tc>
          <w:tcPr/>
          <w:p>
            <w:pPr>
              <w:pStyle w:val="Compact"/>
            </w:pPr>
            <w:r>
              <w:t xml:space="preserve">≤10 Ω</w:t>
            </w:r>
          </w:p>
        </w:tc>
      </w:tr>
    </w:tbl>
    <w:p/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Postojeće stanje i novi GRO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Postojeći strujni krugovi</w:t>
            </w:r>
          </w:p>
        </w:tc>
        <w:tc>
          <w:tcPr/>
          <w:p>
            <w:pPr>
              <w:pStyle w:val="Compact"/>
            </w:pPr>
            <w:r>
              <w:t xml:space="preserve">kontejner je</w:t>
            </w:r>
            <w:r>
              <w:t xml:space="preserve"> </w:t>
            </w:r>
            <w:r>
              <w:rPr>
                <w:b/>
                <w:bCs/>
              </w:rPr>
              <w:t xml:space="preserve">prazan — nema GRO ni krugova</w:t>
            </w:r>
            <w:r>
              <w:t xml:space="preserve">: nova rasvjeta (2 LED svjetiljke IP65 ≥1500 lm; jedna je za 48 V DC na DC razvodu, pa je svjetlo dostupno i kad agregat ne radi), 2 utičnice 230 V/16 A IP44, kablovi u kanalicama; postojeća rasvjeta stuba prelazi na DC razvod −48 V</w:t>
            </w:r>
          </w:p>
        </w:tc>
        <w:tc>
          <w:tcPr/>
          <w:p>
            <w:pPr>
              <w:pStyle w:val="Compact"/>
            </w:pPr>
            <w:r>
              <w:t xml:space="preserve">kontejner je</w:t>
            </w:r>
            <w:r>
              <w:t xml:space="preserve"> </w:t>
            </w:r>
            <w:r>
              <w:rPr>
                <w:b/>
                <w:bCs/>
              </w:rPr>
              <w:t xml:space="preserve">prazan — nema GRO ni krugova</w:t>
            </w:r>
            <w:r>
              <w:t xml:space="preserve">: nova rasvjeta (2 LED svjetiljke IP65 ≥1500 lm; jedna je za 48 V DC na DC razvodu, pa je svjetlo dostupno i kad agregat ne radi), 2 utičnice 230 V/16 A IP44, kablovi u kanalicama; postojeća rasvjeta stuba prelazi na DC razvod −48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Klima-uređaj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bez kruga za klima-uređaj</w:t>
            </w:r>
            <w:r>
              <w:t xml:space="preserve"> </w:t>
            </w:r>
            <w:r>
              <w:t xml:space="preserve">(demontira se, Tačka 4.8)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Smještaj GRO</w:t>
            </w:r>
          </w:p>
        </w:tc>
        <w:tc>
          <w:tcPr/>
          <w:p>
            <w:pPr>
              <w:pStyle w:val="Compact"/>
            </w:pPr>
            <w:r>
              <w:t xml:space="preserve">SI zid, uz vanjske ormare koje napaja</w:t>
            </w:r>
          </w:p>
        </w:tc>
        <w:tc>
          <w:tcPr/>
          <w:p>
            <w:pPr>
              <w:pStyle w:val="Compact"/>
            </w:pPr>
            <w:r>
              <w:t xml:space="preserve">SZ zid, jugozapadno od ulaznih vrata;</w:t>
            </w:r>
            <w:r>
              <w:t xml:space="preserve"> </w:t>
            </w:r>
            <w:r>
              <w:rPr>
                <w:b/>
                <w:bCs/>
              </w:rPr>
              <w:t xml:space="preserve">širina ≤0,50 m</w:t>
            </w:r>
            <w:r>
              <w:t xml:space="preserve"> </w:t>
            </w:r>
            <w:r>
              <w:t xml:space="preserve">(raspoloživi zid 0,595 m); ormari Huawei su vani, na JZ strani (Tačka 4.3.B)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Grafički prilog</w:t>
            </w:r>
          </w:p>
        </w:tc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H-05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Trajni potrošači — napajanje sa −48 V DC (obje lokacije).</w:t>
      </w:r>
      <w:r>
        <w:t xml:space="preserve"> </w:t>
      </w:r>
      <w:r>
        <w:t xml:space="preserve">Agregat je jedini izvor</w:t>
      </w:r>
      <w:r>
        <w:t xml:space="preserve"> </w:t>
      </w:r>
      <w:r>
        <w:t xml:space="preserve">izmjeničnog napona: izvodi GRO (rasvjeta, utičnice, pomoćni potrošači agregata, napajanje</w:t>
      </w:r>
      <w:r>
        <w:t xml:space="preserve"> </w:t>
      </w:r>
      <w:r>
        <w:t xml:space="preserve">ispravljača) su pod naponom samo dok agregat radi. Potrošači koji moraju raditi i kad</w:t>
      </w:r>
      <w:r>
        <w:t xml:space="preserve"> </w:t>
      </w:r>
      <w:r>
        <w:t xml:space="preserve">agregat ne radi napajaju se sa −48 V DC iz ormara Huawei ICC360-HA1-C1 — sa slobodnog DC</w:t>
      </w:r>
      <w:r>
        <w:t xml:space="preserve"> </w:t>
      </w:r>
      <w:r>
        <w:t xml:space="preserve">izvoda sa vlastitim zaštitnim prekidačem — preko novog</w:t>
      </w:r>
      <w:r>
        <w:t xml:space="preserve"> </w:t>
      </w:r>
      <w:r>
        <w:rPr>
          <w:b/>
          <w:bCs/>
        </w:rPr>
        <w:t xml:space="preserve">DC razvoda −48 V</w:t>
      </w:r>
      <w:r>
        <w:t xml:space="preserve"> </w:t>
      </w:r>
      <w:r>
        <w:t xml:space="preserve">u kontejneru: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Potrošač na DC razvodu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Rasvjeta stuba</w:t>
            </w:r>
          </w:p>
        </w:tc>
        <w:tc>
          <w:tcPr/>
          <w:p>
            <w:pPr>
              <w:pStyle w:val="Compact"/>
            </w:pPr>
            <w:r>
              <w:t xml:space="preserve">LED za 48 V DC, niskog intenziteta, sa foto-senzorom i nadzorom ispada prema SMU, umjesto postojeće svjetiljke; ili postojeća svjetiljka preko DC/AC pretvarača ≤100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Vatrodojavna centrala</w:t>
            </w:r>
          </w:p>
        </w:tc>
        <w:tc>
          <w:tcPr/>
          <w:p>
            <w:pPr>
              <w:pStyle w:val="Compact"/>
            </w:pPr>
            <w:r>
              <w:t xml:space="preserve">preko DC/DC pretvarača na nazivni napon centrale; centrala zadržava vlastite akumulatore prema EN 54-4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Punjač akumulatora za start agregata</w:t>
            </w:r>
          </w:p>
        </w:tc>
        <w:tc>
          <w:tcPr/>
          <w:p>
            <w:pPr>
              <w:pStyle w:val="Compact"/>
            </w:pPr>
            <w:r>
              <w:t xml:space="preserve">DC/DC 48 V → 12/24 V prema agregatu, sa strujnim ograničenjem i signalizacijom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</w:t>
            </w:r>
          </w:p>
        </w:tc>
        <w:tc>
          <w:tcPr/>
          <w:p>
            <w:pPr>
              <w:pStyle w:val="Compact"/>
            </w:pPr>
            <w:r>
              <w:t xml:space="preserve">48 V DC (EC), Tačka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Predgrijač rashladne tečnosti agregata</w:t>
            </w:r>
          </w:p>
        </w:tc>
        <w:tc>
          <w:tcPr/>
          <w:p>
            <w:pPr>
              <w:pStyle w:val="Compact"/>
            </w:pPr>
            <w:r>
              <w:t xml:space="preserve">DC — direktno 48 V ili preko DC/DC odgovarajuće snage; uključuje ga kontroler agregata samo za kratko predgrijavanje prije starta pri niskoj temperaturi (Tačka 4.1), ne radi trajno; ≈0,1 kWh po startu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Rasvjeta kontejnera</w:t>
            </w:r>
          </w:p>
        </w:tc>
        <w:tc>
          <w:tcPr/>
          <w:p>
            <w:pPr>
              <w:pStyle w:val="Compact"/>
            </w:pPr>
            <w:r>
              <w:t xml:space="preserve">najmanje jedna LED svjetiljka 48 V DC sa prekidačem uz vrata — svjetlo i kad agregat ne radi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Ukupna trajna potrošnja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≤25 W prosječno</w:t>
            </w:r>
            <w:r>
              <w:t xml:space="preserve"> </w:t>
            </w:r>
            <w:r>
              <w:t xml:space="preserve">(bez rasvjete kontejnera, koja radi samo pri obilasku); Ponuđač dostavlja proračun potrošnje. Energetski bilans (Tačka 8) računa sa 45 W pomoćne potrošnje na −48 V: 20 W za SMU, BMS i ispravljače u mirovanju i 25 W za trajne potrošače</w:t>
            </w:r>
          </w:p>
        </w:tc>
      </w:tr>
    </w:tbl>
    <w:bookmarkEnd w:id="44"/>
    <w:bookmarkStart w:id="45" w:name="Xffc65aa8ef0639ad90862f5a47788725682a937"/>
    <w:p>
      <w:pPr>
        <w:pStyle w:val="Heading3"/>
      </w:pPr>
      <w:r>
        <w:t xml:space="preserve">4.6 Parametriranje upravljanja i nadzora (DEA + PV + baterije)</w:t>
      </w:r>
    </w:p>
    <w:p>
      <w:pPr>
        <w:pStyle w:val="Compact"/>
        <w:numPr>
          <w:ilvl w:val="0"/>
          <w:numId w:val="1004"/>
        </w:numPr>
      </w:pPr>
      <w:r>
        <w:t xml:space="preserve">start agregata prema</w:t>
      </w:r>
      <w:r>
        <w:t xml:space="preserve"> </w:t>
      </w:r>
      <w:r>
        <w:rPr>
          <w:b/>
          <w:bCs/>
        </w:rPr>
        <w:t xml:space="preserve">stanju napunjenosti baterija (SoC)</w:t>
      </w:r>
      <w:r>
        <w:t xml:space="preserve">, a ne prema ispadu mreže</w:t>
      </w:r>
      <w:r>
        <w:t xml:space="preserve"> </w:t>
      </w:r>
      <w:r>
        <w:t xml:space="preserve">— lokacije nemaju priključak EES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ograničenje ulazne snage ispravljačkog sistema na maks. 9,5 kW dok agregat radi</w:t>
      </w:r>
      <w:r>
        <w:t xml:space="preserve">,</w:t>
      </w:r>
      <w:r>
        <w:t xml:space="preserve"> </w:t>
      </w:r>
      <w:r>
        <w:t xml:space="preserve">uz zadržavanje opterećenja agregata iznad 30 %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parametriranje SMU za minimalan rad agregata</w:t>
      </w:r>
      <w:r>
        <w:t xml:space="preserve"> </w:t>
      </w:r>
      <w:r>
        <w:t xml:space="preserve">— dokazuje se protokolom</w:t>
      </w:r>
      <w:r>
        <w:t xml:space="preserve"> </w:t>
      </w:r>
      <w:r>
        <w:t xml:space="preserve">iz Tačke 5, stavka 12:</w:t>
      </w:r>
    </w:p>
    <w:p>
      <w:pPr>
        <w:pStyle w:val="Compact"/>
        <w:numPr>
          <w:ilvl w:val="1"/>
          <w:numId w:val="1005"/>
        </w:numPr>
      </w:pPr>
      <w:r>
        <w:t xml:space="preserve">start agregata pri dubini pražnjenja baterija</w:t>
      </w:r>
      <w:r>
        <w:t xml:space="preserve"> </w:t>
      </w:r>
      <w:r>
        <w:rPr>
          <w:b/>
          <w:bCs/>
        </w:rPr>
        <w:t xml:space="preserve">DOD 85 %</w:t>
      </w:r>
      <w:r>
        <w:t xml:space="preserve"> </w:t>
      </w:r>
      <w:r>
        <w:t xml:space="preserve">(SoC 15 %)</w:t>
      </w:r>
    </w:p>
    <w:p>
      <w:pPr>
        <w:pStyle w:val="Compact"/>
        <w:numPr>
          <w:ilvl w:val="1"/>
          <w:numId w:val="1005"/>
        </w:numPr>
      </w:pPr>
      <w:r>
        <w:t xml:space="preserve">zaustavljanje agregata pri</w:t>
      </w:r>
      <w:r>
        <w:t xml:space="preserve"> </w:t>
      </w:r>
      <w:r>
        <w:rPr>
          <w:b/>
          <w:bCs/>
        </w:rPr>
        <w:t xml:space="preserve">SoC 60 %</w:t>
      </w:r>
      <w:r>
        <w:t xml:space="preserve"> </w:t>
      </w:r>
      <w:r>
        <w:t xml:space="preserve">— ostatak punjenja preuzima fotonaponsko</w:t>
      </w:r>
      <w:r>
        <w:t xml:space="preserve"> </w:t>
      </w:r>
      <w:r>
        <w:t xml:space="preserve">polje</w:t>
      </w:r>
    </w:p>
    <w:p>
      <w:pPr>
        <w:pStyle w:val="Compact"/>
        <w:numPr>
          <w:ilvl w:val="1"/>
          <w:numId w:val="1005"/>
        </w:numPr>
      </w:pPr>
      <w:r>
        <w:t xml:space="preserve">struja punjenja baterija podešena tako da ne ograničava agregat ispod 9,5 kW: na</w:t>
      </w:r>
      <w:r>
        <w:t xml:space="preserve"> </w:t>
      </w:r>
      <w:r>
        <w:t xml:space="preserve">najveću vrijednost koju dozvoljava BMS baterijskih modula (proračun pretpostavlja</w:t>
      </w:r>
      <w:r>
        <w:t xml:space="preserve"> </w:t>
      </w:r>
      <w:r>
        <w:t xml:space="preserve">0,5 C), uz pisanu potvrdu proizvođača</w:t>
      </w:r>
    </w:p>
    <w:p>
      <w:pPr>
        <w:pStyle w:val="Compact"/>
        <w:numPr>
          <w:ilvl w:val="1"/>
          <w:numId w:val="1005"/>
        </w:numPr>
      </w:pPr>
      <w:r>
        <w:t xml:space="preserve">najkraće vrijeme rada agregata po startu</w:t>
      </w:r>
      <w:r>
        <w:t xml:space="preserve"> </w:t>
      </w:r>
      <w:r>
        <w:rPr>
          <w:b/>
          <w:bCs/>
        </w:rPr>
        <w:t xml:space="preserve">1 h</w:t>
      </w:r>
    </w:p>
    <w:p>
      <w:pPr>
        <w:pStyle w:val="Compact"/>
        <w:numPr>
          <w:ilvl w:val="0"/>
          <w:numId w:val="1004"/>
        </w:numPr>
      </w:pPr>
      <w:r>
        <w:t xml:space="preserve">prijenos alarma u sistem daljinskog nadzora: rad agregata, kvar, nivo goriva,</w:t>
      </w:r>
      <w:r>
        <w:t xml:space="preserve"> </w:t>
      </w:r>
      <w:r>
        <w:t xml:space="preserve">curenje goriva, požar, temperatura prostora</w:t>
      </w:r>
    </w:p>
    <w:p>
      <w:pPr>
        <w:pStyle w:val="Compact"/>
        <w:numPr>
          <w:ilvl w:val="0"/>
          <w:numId w:val="1004"/>
        </w:numPr>
      </w:pPr>
      <w:r>
        <w:t xml:space="preserve">upravljačka jedinica kompatibilna sa postojećim sistemom napajanja (modul GIM01C1,</w:t>
      </w:r>
      <w:r>
        <w:t xml:space="preserve"> </w:t>
      </w:r>
      <w:r>
        <w:t xml:space="preserve">AC ulazni modul AIU03)</w:t>
      </w:r>
    </w:p>
    <w:bookmarkEnd w:id="45"/>
    <w:bookmarkStart w:id="46" w:name="zaštita-od-požara"/>
    <w:p>
      <w:pPr>
        <w:pStyle w:val="Heading3"/>
      </w:pPr>
      <w:r>
        <w:t xml:space="preserve">4.7 Zaštita od požara</w:t>
      </w:r>
    </w:p>
    <w:p>
      <w:pPr>
        <w:pStyle w:val="Compact"/>
        <w:numPr>
          <w:ilvl w:val="0"/>
          <w:numId w:val="1006"/>
        </w:numPr>
      </w:pPr>
      <w:r>
        <w:t xml:space="preserve">elaborat zaštite od požara za prostor sa 500 l dizel goriva, za svaku lokaciju —</w:t>
      </w:r>
      <w:r>
        <w:t xml:space="preserve"> </w:t>
      </w:r>
      <w:r>
        <w:t xml:space="preserve">tokom primopredaje</w:t>
      </w:r>
    </w:p>
    <w:p>
      <w:pPr>
        <w:pStyle w:val="Compact"/>
        <w:numPr>
          <w:ilvl w:val="0"/>
          <w:numId w:val="1006"/>
        </w:numPr>
      </w:pPr>
      <w:r>
        <w:t xml:space="preserve">detekcija: dimni i termički detektori; detekcija CO i NO₂</w:t>
      </w:r>
    </w:p>
    <w:p>
      <w:pPr>
        <w:pStyle w:val="Compact"/>
        <w:numPr>
          <w:ilvl w:val="0"/>
          <w:numId w:val="1006"/>
        </w:numPr>
      </w:pPr>
      <w:r>
        <w:t xml:space="preserve">automatsko gašenje sredstvom za klasu B, sa</w:t>
      </w:r>
      <w:r>
        <w:t xml:space="preserve"> </w:t>
      </w:r>
      <w:r>
        <w:rPr>
          <w:b/>
          <w:bCs/>
        </w:rPr>
        <w:t xml:space="preserve">blokadom ventilacije pri aktivaciji</w:t>
      </w:r>
    </w:p>
    <w:p>
      <w:pPr>
        <w:pStyle w:val="Compact"/>
        <w:numPr>
          <w:ilvl w:val="0"/>
          <w:numId w:val="1006"/>
        </w:numPr>
      </w:pPr>
      <w:r>
        <w:t xml:space="preserve">protupožarni ventil na izlazu iz spremnika</w:t>
      </w:r>
    </w:p>
    <w:p>
      <w:pPr>
        <w:pStyle w:val="Compact"/>
        <w:numPr>
          <w:ilvl w:val="0"/>
          <w:numId w:val="1006"/>
        </w:numPr>
      </w:pPr>
      <w:r>
        <w:t xml:space="preserve">E-STOP izvan kontejnera pored ulaznih vrata, prema ISO 13850 kategorija 0</w:t>
      </w:r>
    </w:p>
    <w:p>
      <w:pPr>
        <w:pStyle w:val="Compact"/>
        <w:numPr>
          <w:ilvl w:val="0"/>
          <w:numId w:val="1006"/>
        </w:numPr>
      </w:pPr>
      <w:r>
        <w:t xml:space="preserve">oznake opasnosti, zabrana pušenja, oznaka kapaciteta goriva</w:t>
      </w:r>
    </w:p>
    <w:p>
      <w:pPr>
        <w:pStyle w:val="Compact"/>
        <w:numPr>
          <w:ilvl w:val="0"/>
          <w:numId w:val="1006"/>
        </w:numPr>
      </w:pPr>
      <w:r>
        <w:t xml:space="preserve">najmanje dva aparata za gašenje odgovarajuće klase</w:t>
      </w:r>
    </w:p>
    <w:p>
      <w:pPr>
        <w:pStyle w:val="FirstParagraph"/>
      </w:pPr>
      <w:r>
        <w:t xml:space="preserve">Elaborat zaštite od požara, protupožarni ventil na spremniku i blokada ventilacije pri</w:t>
      </w:r>
      <w:r>
        <w:t xml:space="preserve"> </w:t>
      </w:r>
      <w:r>
        <w:t xml:space="preserve">aktivaciji gašenja</w:t>
      </w:r>
      <w:r>
        <w:t xml:space="preserve"> </w:t>
      </w:r>
      <w:r>
        <w:rPr>
          <w:b/>
          <w:bCs/>
        </w:rPr>
        <w:t xml:space="preserve">zasebno su iskazani u Prilogu II</w:t>
      </w:r>
      <w:r>
        <w:t xml:space="preserve">.</w:t>
      </w:r>
    </w:p>
    <w:bookmarkEnd w:id="46"/>
    <w:bookmarkStart w:id="47" w:name="X5edf623f5b8f0b75cc78222c68af359e1c4d838"/>
    <w:p>
      <w:pPr>
        <w:pStyle w:val="Heading3"/>
      </w:pPr>
      <w:r>
        <w:t xml:space="preserve">4.8 Demontaža klima-uređaja Stulz — samo BS Hamzići</w:t>
      </w:r>
    </w:p>
    <w:p>
      <w:pPr>
        <w:pStyle w:val="Compact"/>
        <w:numPr>
          <w:ilvl w:val="0"/>
          <w:numId w:val="1007"/>
        </w:numPr>
      </w:pPr>
      <w:r>
        <w:t xml:space="preserve">postojeći kompaktni zidni klima-uređaj</w:t>
      </w:r>
      <w:r>
        <w:t xml:space="preserve"> </w:t>
      </w:r>
      <w:r>
        <w:rPr>
          <w:b/>
          <w:bCs/>
        </w:rPr>
        <w:t xml:space="preserve">Stulz WDE80</w:t>
      </w:r>
      <w:r>
        <w:t xml:space="preserve"> </w:t>
      </w:r>
      <w:r>
        <w:t xml:space="preserve">(8 kW, rashladni medij R407C) na</w:t>
      </w:r>
      <w:r>
        <w:t xml:space="preserve"> </w:t>
      </w:r>
      <w:r>
        <w:t xml:space="preserve">jugoistočnom (JI) zidu kontejnera, u sredini, se odspaja (230 V AC, 48 V DC, signalizacija) i demontira</w:t>
      </w:r>
      <w:r>
        <w:t xml:space="preserve"> </w:t>
      </w:r>
      <w:r>
        <w:rPr>
          <w:b/>
          <w:bCs/>
        </w:rPr>
        <w:t xml:space="preserve">bez otvaranja rashladnog kruga</w:t>
      </w:r>
    </w:p>
    <w:p>
      <w:pPr>
        <w:pStyle w:val="Compact"/>
        <w:numPr>
          <w:ilvl w:val="0"/>
          <w:numId w:val="1007"/>
        </w:numPr>
      </w:pPr>
      <w:r>
        <w:t xml:space="preserve">uređaj se pakuje za transport, utovara i prevozi u skladište</w:t>
      </w:r>
      <w:r>
        <w:t xml:space="preserve"> </w:t>
      </w:r>
      <w:r>
        <w:rPr>
          <w:b/>
          <w:bCs/>
        </w:rPr>
        <w:t xml:space="preserve">BH Telecom d.d.,</w:t>
      </w:r>
      <w:r>
        <w:rPr>
          <w:b/>
          <w:bCs/>
        </w:rPr>
        <w:t xml:space="preserve"> </w:t>
      </w:r>
      <w:r>
        <w:rPr>
          <w:b/>
          <w:bCs/>
        </w:rPr>
        <w:t xml:space="preserve">Alipašino Polje, Sarajevo</w:t>
      </w:r>
      <w:r>
        <w:t xml:space="preserve">, uz istovar i</w:t>
      </w:r>
      <w:r>
        <w:t xml:space="preserve"> </w:t>
      </w:r>
      <w:r>
        <w:rPr>
          <w:b/>
          <w:bCs/>
        </w:rPr>
        <w:t xml:space="preserve">zapisnik o primopredaji</w:t>
      </w:r>
      <w:r>
        <w:t xml:space="preserve"> </w:t>
      </w:r>
      <w:r>
        <w:t xml:space="preserve">(tip, serijski</w:t>
      </w:r>
      <w:r>
        <w:t xml:space="preserve"> </w:t>
      </w:r>
      <w:r>
        <w:t xml:space="preserve">broj, stanje)</w:t>
      </w:r>
    </w:p>
    <w:p>
      <w:pPr>
        <w:pStyle w:val="Compact"/>
        <w:numPr>
          <w:ilvl w:val="0"/>
          <w:numId w:val="1007"/>
        </w:numPr>
      </w:pPr>
      <w:r>
        <w:t xml:space="preserve">otvori u zidu ostaju za izlaz toplog zraka agregata (Tačka 4.3.B); natpisnu pločicu i</w:t>
      </w:r>
      <w:r>
        <w:t xml:space="preserve"> </w:t>
      </w:r>
      <w:r>
        <w:t xml:space="preserve">mjere otvora Ponuđač očitava pri obilasku lokacije</w:t>
      </w:r>
    </w:p>
    <w:bookmarkEnd w:id="47"/>
    <w:bookmarkStart w:id="48" w:name="X6d79cfeffe5ce2618196ef2373033f410dbb286"/>
    <w:p>
      <w:pPr>
        <w:pStyle w:val="Heading3"/>
      </w:pPr>
      <w:r>
        <w:t xml:space="preserve">4.9 Preuzimanje i transport opreme Kupca — obje lokacije</w:t>
      </w:r>
    </w:p>
    <w:p>
      <w:pPr>
        <w:pStyle w:val="FirstParagraph"/>
      </w:pPr>
      <w:r>
        <w:t xml:space="preserve">Opremu hibridnog sistema nabavlja Kupac i predaje je Ponuđaču u svom skladištu.</w:t>
      </w:r>
      <w:r>
        <w:t xml:space="preserve"> </w:t>
      </w:r>
      <w:r>
        <w:t xml:space="preserve">Ponuđač je preuzima, prevozi na lokaciju i ugrađuje. Prevoz i rukovanje su dio</w:t>
      </w:r>
      <w:r>
        <w:t xml:space="preserve"> </w:t>
      </w:r>
      <w:r>
        <w:t xml:space="preserve">LOT 2 i iskazuju se u Prilogu II, po lokaciji.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Oprema Kupca</w:t>
            </w:r>
          </w:p>
        </w:tc>
        <w:tc>
          <w:tcPr/>
          <w:p>
            <w:pPr>
              <w:pStyle w:val="Compact"/>
            </w:pPr>
            <w:r>
              <w:t xml:space="preserve">fotonaponski moduli iPV585-M2A (12 kom po lokaciji), PVDB 500-15-2B, ispravljači iSSU S4875G2, baterijski moduli LFP i ormar ICC360-HA1-C1 sa pripadajućim modulima; tačan spisak Kupac daje uz narudžbu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Mjesto preuzimanja</w:t>
            </w:r>
          </w:p>
        </w:tc>
        <w:tc>
          <w:tcPr/>
          <w:p>
            <w:pPr>
              <w:pStyle w:val="Compact"/>
            </w:pPr>
            <w:r>
              <w:t xml:space="preserve">skladište BH Telecom d.d.,</w:t>
            </w:r>
            <w:r>
              <w:t xml:space="preserve"> </w:t>
            </w:r>
            <w:r>
              <w:rPr>
                <w:b/>
                <w:bCs/>
              </w:rPr>
              <w:t xml:space="preserve">Azići, Bojnička bb, Sarajevo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Mjesto isporuke</w:t>
            </w:r>
          </w:p>
        </w:tc>
        <w:tc>
          <w:tcPr/>
          <w:p>
            <w:pPr>
              <w:pStyle w:val="Compact"/>
            </w:pPr>
            <w:r>
              <w:t xml:space="preserve">BS Sjednica (Bileća) i BS Hamzići (Čitluk) — svaka lokacija zasebno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Obuhvat</w:t>
            </w:r>
          </w:p>
        </w:tc>
        <w:tc>
          <w:tcPr/>
          <w:p>
            <w:pPr>
              <w:pStyle w:val="Compact"/>
            </w:pPr>
            <w:r>
              <w:t xml:space="preserve">utovar, osiguranje i učvršćenje tereta, prevoz, istovar na lokaciji i unos do mjesta ugradnje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Vozilo</w:t>
            </w:r>
          </w:p>
        </w:tc>
        <w:tc>
          <w:tcPr/>
          <w:p>
            <w:pPr>
              <w:pStyle w:val="Compact"/>
            </w:pPr>
            <w:r>
              <w:t xml:space="preserve">zatvoreno ili natkriveno vozilo; pristupni put do BS Hamzići je makadam ≈800 m × 3 m, pa Ponuđač bira vozilo koje njime prolazi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Rukovanje</w:t>
            </w:r>
          </w:p>
        </w:tc>
        <w:tc>
          <w:tcPr/>
          <w:p>
            <w:pPr>
              <w:pStyle w:val="Compact"/>
            </w:pPr>
            <w:r>
              <w:t xml:space="preserve">FN moduli u originalnoj ambalaži, uspravno, bez oslanjanja na staklo; baterijski moduli prema uputstvu proizvođača (temperatura, položaj, zaštita polova); ormar bez udara i naginjanja preko dozvoljenog ugla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preuzimanje se najavljuje skladištu najmanje 3 radna dana ranije; prevoz se usklađuje sa dinamikom montaže — oprema se ne skladišti na lokaciji duže nego što montaža traži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Dokumenti</w:t>
            </w:r>
          </w:p>
        </w:tc>
        <w:tc>
          <w:tcPr/>
          <w:p>
            <w:pPr>
              <w:pStyle w:val="Compact"/>
            </w:pPr>
            <w:r>
              <w:t xml:space="preserve">otpremnica skladišta pri preuzimanju i</w:t>
            </w:r>
            <w:r>
              <w:t xml:space="preserve"> </w:t>
            </w:r>
            <w:r>
              <w:rPr>
                <w:b/>
                <w:bCs/>
              </w:rPr>
              <w:t xml:space="preserve">zapisnik o preuzimanju opreme na lokaciji</w:t>
            </w:r>
            <w:r>
              <w:t xml:space="preserve"> </w:t>
            </w:r>
            <w:r>
              <w:t xml:space="preserve">(spisak, količine, stanje ambalaže, serijski brojevi), potpisan od Ponuđača i Kupca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Odgovornost</w:t>
            </w:r>
          </w:p>
        </w:tc>
        <w:tc>
          <w:tcPr/>
          <w:p>
            <w:pPr>
              <w:pStyle w:val="Compact"/>
            </w:pPr>
            <w:r>
              <w:t xml:space="preserve">od potpisa otpremnice do zapisnika o primopredaji radova opremu čuva Ponuđač; oštećenu ili izgubljenu opremu nadoknađuje o svom trošku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dokazi-koji-se-dostavljaju"/>
    <w:p>
      <w:pPr>
        <w:pStyle w:val="Heading2"/>
      </w:pPr>
      <w:r>
        <w:t xml:space="preserve">5. Dokazi koji se dostavljaju</w:t>
      </w:r>
    </w:p>
    <w:p>
      <w:pPr>
        <w:pStyle w:val="FirstParagraph"/>
      </w:pPr>
      <w:r>
        <w:t xml:space="preserve">Dokazi koji se dostavljaju</w:t>
      </w:r>
      <w:r>
        <w:t xml:space="preserve"> </w:t>
      </w:r>
      <w:r>
        <w:rPr>
          <w:b/>
          <w:bCs/>
        </w:rPr>
        <w:t xml:space="preserve">uz ponudu</w:t>
      </w:r>
      <w:r>
        <w:t xml:space="preserve"> </w:t>
      </w:r>
      <w:r>
        <w:t xml:space="preserve">nose oznaku</w:t>
      </w:r>
      <w:r>
        <w:t xml:space="preserve"> </w:t>
      </w:r>
      <w:r>
        <w:rPr>
          <w:b/>
          <w:bCs/>
        </w:rPr>
        <w:t xml:space="preserve">PONUDA</w:t>
      </w:r>
      <w:r>
        <w:t xml:space="preserve">; dokazi koji se</w:t>
      </w:r>
      <w:r>
        <w:t xml:space="preserve"> </w:t>
      </w:r>
      <w:r>
        <w:t xml:space="preserve">dostavljaju</w:t>
      </w:r>
      <w:r>
        <w:t xml:space="preserve"> </w:t>
      </w:r>
      <w:r>
        <w:rPr>
          <w:b/>
          <w:bCs/>
        </w:rPr>
        <w:t xml:space="preserve">u toku realizacije</w:t>
      </w:r>
      <w:r>
        <w:t xml:space="preserve"> </w:t>
      </w:r>
      <w:r>
        <w:t xml:space="preserve">nose oznaku</w:t>
      </w:r>
      <w:r>
        <w:t xml:space="preserve"> </w:t>
      </w:r>
      <w:r>
        <w:rPr>
          <w:b/>
          <w:bCs/>
        </w:rPr>
        <w:t xml:space="preserve">REALIZACIJA</w:t>
      </w:r>
      <w:r>
        <w:t xml:space="preserve">; dokazi koji se</w:t>
      </w:r>
      <w:r>
        <w:t xml:space="preserve"> </w:t>
      </w:r>
      <w:r>
        <w:t xml:space="preserve">dostavljaju komisiji</w:t>
      </w:r>
      <w:r>
        <w:t xml:space="preserve"> </w:t>
      </w:r>
      <w:r>
        <w:rPr>
          <w:b/>
          <w:bCs/>
        </w:rPr>
        <w:t xml:space="preserve">tokom primopredaje</w:t>
      </w:r>
      <w:r>
        <w:t xml:space="preserve"> </w:t>
      </w:r>
      <w:r>
        <w:t xml:space="preserve">nose oznaku</w:t>
      </w:r>
      <w:r>
        <w:t xml:space="preserve"> </w:t>
      </w:r>
      <w:r>
        <w:rPr>
          <w:b/>
          <w:bCs/>
        </w:rPr>
        <w:t xml:space="preserve">PRIMOPREDAJA</w:t>
      </w:r>
      <w:r>
        <w:t xml:space="preserve">; dokazi koji</w:t>
      </w:r>
      <w:r>
        <w:t xml:space="preserve"> </w:t>
      </w:r>
      <w:r>
        <w:t xml:space="preserve">moraju biti pregledani i odobreni</w:t>
      </w:r>
      <w:r>
        <w:t xml:space="preserve"> </w:t>
      </w:r>
      <w:r>
        <w:rPr>
          <w:b/>
          <w:bCs/>
        </w:rPr>
        <w:t xml:space="preserve">prije početka izvođenja radova</w:t>
      </w:r>
      <w:r>
        <w:t xml:space="preserve"> </w:t>
      </w:r>
      <w:r>
        <w:t xml:space="preserve">nose oznaku</w:t>
      </w:r>
      <w:r>
        <w:t xml:space="preserve"> </w:t>
      </w:r>
      <w:r>
        <w:rPr>
          <w:b/>
          <w:bCs/>
        </w:rPr>
        <w:t xml:space="preserve">POČETAK RADOVA</w:t>
      </w:r>
      <w:r>
        <w:t xml:space="preserve">. Dokazi iz realizacije i primopredaje dostavljaju se</w:t>
      </w:r>
      <w:r>
        <w:t xml:space="preserve"> </w:t>
      </w:r>
      <w:r>
        <w:rPr>
          <w:b/>
          <w:bCs/>
        </w:rPr>
        <w:t xml:space="preserve">za svaku</w:t>
      </w:r>
      <w:r>
        <w:rPr>
          <w:b/>
          <w:bCs/>
        </w:rPr>
        <w:t xml:space="preserve"> </w:t>
      </w:r>
      <w:r>
        <w:rPr>
          <w:b/>
          <w:bCs/>
        </w:rPr>
        <w:t xml:space="preserve">lokaciju</w:t>
      </w:r>
      <w:r>
        <w:t xml:space="preserve">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674"/>
        <w:gridCol w:w="6071"/>
        <w:gridCol w:w="963"/>
        <w:gridCol w:w="1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Br.</w:t>
            </w:r>
          </w:p>
        </w:tc>
        <w:tc>
          <w:tcPr/>
          <w:p>
            <w:pPr>
              <w:pStyle w:val="Compact"/>
            </w:pPr>
            <w:r>
              <w:t xml:space="preserve">Dokaz</w:t>
            </w:r>
          </w:p>
        </w:tc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t xml:space="preserve">Oznaka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Statički proračun nosive konstrukcije i temelja prema standardima iz Tačke 3.2, ovjeren i potpisan od ovlaštenog inženjera, sa dokazom na podizanje i prevrtanje — za obje lokacije. Dostavlja se u sklopu tehničkog rješenja i uslov je za počinjanje radova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POČETAK RADOVA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Tehničko rješenje konstrukcije za prihvat fotonaponskih panela za predmetnu lokaciju: tehnički nacrti konstrukcije i temelja, statički proračun i specifikacija materijala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PONUDA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Izjava o svojstvima prema EN 1090-1 i klasa izvedbe EXC2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Atesti materijala (čelik) i potvrda o vrućem cinčanju (debljina sloja)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ETA certifikat i proračun za hemijska sidra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Zapisnik o ispitivanju ankera na čupanje (min. 2 ankera po lokaciji)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Tehnički list (TDS) agregata sa dokazom o PMG/AREP nezavisnoj pobudi (3 × In, ≥10 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PONUDA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Proračun pada pritiska ventilacije i protutlaka izduvnog sistema, po lokaciji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Elaborat zaštite od požara za prostor sa rezervoarom 500 l, po lokaciji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Atesti i certifikati za elektro opremu, CPR kablove i prenaponsku zaštitu (SPD)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Ispitni protokoli elektroinstalacija i otpora uzemljenja (≤10 Ω), po lokaciji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PRIMOPREDAJA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Protokol o parametriranju i funkcionalnom ispitivanju integracije DEA–PV–baterija, po lokaciji, uključujući postavljeno ograničenje od 9,5 kW, start pri DOD 85 %, stop pri SoC 60 %, struju punjenja uz potvrdu proizvođača baterija i najkraće vrijeme rada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PRIMOPREDAJA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Zapisnik o primopredaji demontiranog klima-uređaja Stulz WDE80 u skladištu Alipašino Polje (Hamzići)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Otpremnica skladišta Azići (Bojnička bb) i zapisnik o preuzimanju opreme Kupca na lokaciji, po lokaciji (Tačka 4.9)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Derating snage agregata prema ISO 3046-1, od proizvođača, za nadmorsku visinu i projektnu temperaturu obje lokacije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PONUDA</w:t>
            </w:r>
          </w:p>
        </w:tc>
      </w:tr>
    </w:tbl>
    <w:bookmarkEnd w:id="50"/>
    <w:bookmarkStart w:id="51" w:name="ispitivanja-i-puštanje-u-rad"/>
    <w:p>
      <w:pPr>
        <w:pStyle w:val="Heading2"/>
      </w:pPr>
      <w:r>
        <w:t xml:space="preserve">6. Ispitivanja i puštanje u rad</w:t>
      </w:r>
    </w:p>
    <w:p>
      <w:pPr>
        <w:pStyle w:val="FirstParagraph"/>
      </w:pPr>
      <w:r>
        <w:t xml:space="preserve">Ispitivanja se izvode</w:t>
      </w:r>
      <w:r>
        <w:t xml:space="preserve"> </w:t>
      </w:r>
      <w:r>
        <w:rPr>
          <w:b/>
          <w:bCs/>
        </w:rPr>
        <w:t xml:space="preserve">na svakoj lokaciji</w:t>
      </w:r>
      <w:r>
        <w:t xml:space="preserve">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Ispitivanje</w:t>
            </w:r>
          </w:p>
        </w:tc>
        <w:tc>
          <w:tcPr/>
          <w:p>
            <w:pPr>
              <w:pStyle w:val="Compact"/>
            </w:pPr>
            <w:r>
              <w:t xml:space="preserve">Kriterij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Otpor uzemljenja</w:t>
            </w:r>
          </w:p>
        </w:tc>
        <w:tc>
          <w:tcPr/>
          <w:p>
            <w:pPr>
              <w:pStyle w:val="Compact"/>
            </w:pPr>
            <w:r>
              <w:t xml:space="preserve">≤10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Kontinuitet zaštitnih vodiča</w:t>
            </w:r>
          </w:p>
        </w:tc>
        <w:tc>
          <w:tcPr/>
          <w:p>
            <w:pPr>
              <w:pStyle w:val="Compact"/>
            </w:pPr>
            <w:r>
              <w:t xml:space="preserve">≤0,1 Ω po spoju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Ispitivanje čupanja ankera</w:t>
            </w:r>
          </w:p>
        </w:tc>
        <w:tc>
          <w:tcPr/>
          <w:p>
            <w:pPr>
              <w:pStyle w:val="Compact"/>
            </w:pPr>
            <w:r>
              <w:t xml:space="preserve">min. 2 ankera po lokaciji, do 1,5 × projektne sile iz odobrenog tehničkog rješenja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Funkcionalno ispitivanje RCD</w:t>
            </w:r>
          </w:p>
        </w:tc>
        <w:tc>
          <w:tcPr/>
          <w:p>
            <w:pPr>
              <w:pStyle w:val="Compact"/>
            </w:pPr>
            <w:r>
              <w:t xml:space="preserve">vrijeme i struja isključenja prema IEC 61008/61009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Ispitivanje ventilacije</w:t>
            </w:r>
          </w:p>
        </w:tc>
        <w:tc>
          <w:tcPr/>
          <w:p>
            <w:pPr>
              <w:pStyle w:val="Compact"/>
            </w:pPr>
            <w:r>
              <w:t xml:space="preserve">izmjereni pad pritiska ≤125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Funkcionalno ispitivanje agregata</w:t>
            </w:r>
          </w:p>
        </w:tc>
        <w:tc>
          <w:tcPr/>
          <w:p>
            <w:pPr>
              <w:pStyle w:val="Compact"/>
            </w:pPr>
            <w:r>
              <w:t xml:space="preserve">automatski start/stop, zaštite, alarmi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Probni rad</w:t>
            </w:r>
          </w:p>
        </w:tc>
        <w:tc>
          <w:tcPr/>
          <w:p>
            <w:pPr>
              <w:pStyle w:val="Compact"/>
            </w:pPr>
            <w:r>
              <w:t xml:space="preserve">72 h neprekidnog rada sa simulacijom opterećenja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Mjerenje temperature prostora</w:t>
            </w:r>
          </w:p>
        </w:tc>
        <w:tc>
          <w:tcPr/>
          <w:p>
            <w:pPr>
              <w:pStyle w:val="Compact"/>
            </w:pPr>
            <w:r>
              <w:t xml:space="preserve">pri radu agregata na nazivnom opterećenju</w:t>
            </w:r>
          </w:p>
        </w:tc>
      </w:tr>
    </w:tbl>
    <w:bookmarkEnd w:id="51"/>
    <w:bookmarkStart w:id="52" w:name="garancija"/>
    <w:p>
      <w:pPr>
        <w:pStyle w:val="Heading2"/>
      </w:pPr>
      <w:r>
        <w:t xml:space="preserve">7. Garancija</w:t>
      </w:r>
    </w:p>
    <w:p>
      <w:pPr>
        <w:pStyle w:val="Compact"/>
        <w:numPr>
          <w:ilvl w:val="0"/>
          <w:numId w:val="1008"/>
        </w:numPr>
      </w:pPr>
      <w:r>
        <w:t xml:space="preserve">garantni period minimalno</w:t>
      </w:r>
      <w:r>
        <w:t xml:space="preserve"> </w:t>
      </w:r>
      <w:r>
        <w:rPr>
          <w:b/>
          <w:bCs/>
        </w:rPr>
        <w:t xml:space="preserve">24 mjeseca</w:t>
      </w:r>
      <w:r>
        <w:t xml:space="preserve"> </w:t>
      </w:r>
      <w:r>
        <w:t xml:space="preserve">od zapisnika o primopredaji bez primjedbi</w:t>
      </w:r>
    </w:p>
    <w:p>
      <w:pPr>
        <w:pStyle w:val="Compact"/>
        <w:numPr>
          <w:ilvl w:val="0"/>
          <w:numId w:val="1008"/>
        </w:numPr>
      </w:pPr>
      <w:r>
        <w:t xml:space="preserve">postgarantni period minimalno</w:t>
      </w:r>
      <w:r>
        <w:t xml:space="preserve"> </w:t>
      </w:r>
      <w:r>
        <w:rPr>
          <w:b/>
          <w:bCs/>
        </w:rPr>
        <w:t xml:space="preserve">5 godina</w:t>
      </w:r>
    </w:p>
    <w:p>
      <w:pPr>
        <w:pStyle w:val="Compact"/>
        <w:numPr>
          <w:ilvl w:val="0"/>
          <w:numId w:val="1008"/>
        </w:numPr>
      </w:pPr>
      <w:r>
        <w:t xml:space="preserve">spisak preporučenih rezervnih dijelova za 500 h rada agregata, za svaku lokaciju</w:t>
      </w:r>
    </w:p>
    <w:p>
      <w:pPr>
        <w:pStyle w:val="Compact"/>
        <w:numPr>
          <w:ilvl w:val="0"/>
          <w:numId w:val="1008"/>
        </w:numPr>
      </w:pPr>
      <w:r>
        <w:t xml:space="preserve">dokumentacija izvedenog stanja i uputstva za pogon i održavanje, za svaku lokaciju</w:t>
      </w:r>
    </w:p>
    <w:p>
      <w:r>
        <w:pict>
          <v:rect style="width:0;height:1.5pt" o:hralign="center" o:hrstd="t" o:hr="t"/>
        </w:pict>
      </w:r>
    </w:p>
    <w:bookmarkEnd w:id="52"/>
    <w:bookmarkStart w:id="62" w:name="očekivani-energetski-bilans-informativno"/>
    <w:p>
      <w:pPr>
        <w:pStyle w:val="Heading2"/>
      </w:pPr>
      <w:r>
        <w:t xml:space="preserve">8. Očekivani energetski bilans (informativno)</w:t>
      </w:r>
    </w:p>
    <w:p>
      <w:pPr>
        <w:pStyle w:val="FirstParagraph"/>
      </w:pPr>
      <w:r>
        <w:t xml:space="preserve">Satna simulacija energetskog bilansa na −48 V DC sabirnici za 19 godina (2005–2023) za</w:t>
      </w:r>
      <w:r>
        <w:t xml:space="preserve"> </w:t>
      </w:r>
      <w:r>
        <w:t xml:space="preserve">svaku lokaciju: ozračenje iz PVGIS-SARAH3, FN lanac sa gubicima po komponentama</w:t>
      </w:r>
      <w:r>
        <w:t xml:space="preserve"> </w:t>
      </w:r>
      <w:r>
        <w:t xml:space="preserve">(uključujući krivulju efikasnosti iSSU S4875G2), baterije 48,6 kWh (6 × 150 Ah), pomoćnu</w:t>
      </w:r>
      <w:r>
        <w:t xml:space="preserve"> </w:t>
      </w:r>
      <w:r>
        <w:t xml:space="preserve">potrošnju od 45 W sa trajnim potrošačima iz Tačke 4.5 i agregat preko ispravljača</w:t>
      </w:r>
      <w:r>
        <w:t xml:space="preserve"> </w:t>
      </w:r>
      <w:r>
        <w:t xml:space="preserve">ograničenih na 9,5 kW, uz parametriranje SMU iz Tačke 4.6. Metoda, provjera</w:t>
      </w:r>
      <w:r>
        <w:t xml:space="preserve"> </w:t>
      </w:r>
      <w:r>
        <w:t xml:space="preserve">prema PVGIS-u, gubici i osjetljivost na postavke su u proračunima lokacija, dio A.6.</w:t>
      </w:r>
      <w:r>
        <w:t xml:space="preserve"> </w:t>
      </w:r>
      <w:r>
        <w:rPr>
          <w:b/>
          <w:bCs/>
        </w:rPr>
        <w:t xml:space="preserve">Vrijednosti su informativne i ne mijenjaju zahtjeve Tačaka 3 i 4.</w:t>
      </w:r>
    </w:p>
    <w:p>
      <w:pPr>
        <w:pStyle w:val="BodyText"/>
      </w:pPr>
      <w:r>
        <w:t xml:space="preserve">Polja su na obje lokacije okrenuta na</w:t>
      </w:r>
      <w:r>
        <w:t xml:space="preserve"> </w:t>
      </w:r>
      <w:r>
        <w:rPr>
          <w:b/>
          <w:bCs/>
        </w:rPr>
        <w:t xml:space="preserve">pravi jugozapad (azimut 225°)</w:t>
      </w:r>
      <w:r>
        <w:t xml:space="preserve">, u jednom nizu</w:t>
      </w:r>
      <w:r>
        <w:t xml:space="preserve"> </w:t>
      </w:r>
      <w:r>
        <w:t xml:space="preserve">paralelnom sa JZ ogradom (Naručilac 11.09.2026). Okrenuta na jug (180°), ista polja bi</w:t>
      </w:r>
      <w:r>
        <w:t xml:space="preserve"> </w:t>
      </w:r>
      <w:r>
        <w:t xml:space="preserve">dala ≈9 % više energije godišnje i ≈21 % više u decembru, a agregat bi radio ≈50 h</w:t>
      </w:r>
      <w:r>
        <w:t xml:space="preserve"> </w:t>
      </w:r>
      <w:r>
        <w:t xml:space="preserve">godišnje manje. Očekivani rad agregata je zato na obje lokacije iznad cilja od 250 h</w:t>
      </w:r>
      <w:r>
        <w:t xml:space="preserve"> </w:t>
      </w:r>
      <w:r>
        <w:t xml:space="preserve">godišnje iz RFI; to je svjesno prihvaćena cijena orijentacije JZ (proračuni lokacija,</w:t>
      </w:r>
      <w:r>
        <w:t xml:space="preserve"> </w:t>
      </w:r>
      <w:r>
        <w:t xml:space="preserve">dio A.6).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Pokazatelj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proizvodnja na DC sabirnici</w:t>
            </w:r>
          </w:p>
        </w:tc>
        <w:tc>
          <w:tcPr/>
          <w:p>
            <w:pPr>
              <w:pStyle w:val="Compact"/>
            </w:pPr>
            <w:r>
              <w:t xml:space="preserve">≈9 240 kWh/god (1 317 kWh/kWp)</w:t>
            </w:r>
          </w:p>
        </w:tc>
        <w:tc>
          <w:tcPr/>
          <w:p>
            <w:pPr>
              <w:pStyle w:val="Compact"/>
            </w:pPr>
            <w:r>
              <w:t xml:space="preserve">≈9 580 kWh/god (1 365 kWh/kWp)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Potrošnja</w:t>
            </w:r>
          </w:p>
        </w:tc>
        <w:tc>
          <w:tcPr/>
          <w:p>
            <w:pPr>
              <w:pStyle w:val="Compact"/>
            </w:pPr>
            <w:r>
              <w:t xml:space="preserve">≈10 790 kWh/god</w:t>
            </w:r>
          </w:p>
        </w:tc>
        <w:tc>
          <w:tcPr/>
          <w:p>
            <w:pPr>
              <w:pStyle w:val="Compact"/>
            </w:pPr>
            <w:r>
              <w:t xml:space="preserve">≈10 860 kWh/god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Decembar: FN / potrošnja</w:t>
            </w:r>
          </w:p>
        </w:tc>
        <w:tc>
          <w:tcPr/>
          <w:p>
            <w:pPr>
              <w:pStyle w:val="Compact"/>
            </w:pPr>
            <w:r>
              <w:t xml:space="preserve">≈440 / ≈910 kWh</w:t>
            </w:r>
          </w:p>
        </w:tc>
        <w:tc>
          <w:tcPr/>
          <w:p>
            <w:pPr>
              <w:pStyle w:val="Compact"/>
            </w:pPr>
            <w:r>
              <w:t xml:space="preserve">≈480 / ≈910 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Solarni udio u potrošnji</w:t>
            </w:r>
          </w:p>
        </w:tc>
        <w:tc>
          <w:tcPr/>
          <w:p>
            <w:pPr>
              <w:pStyle w:val="Compact"/>
            </w:pPr>
            <w:r>
              <w:t xml:space="preserve">74,7 %</w:t>
            </w:r>
          </w:p>
        </w:tc>
        <w:tc>
          <w:tcPr/>
          <w:p>
            <w:pPr>
              <w:pStyle w:val="Compact"/>
            </w:pPr>
            <w:r>
              <w:t xml:space="preserve">77,0 %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 agregata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≈300 h/god</w:t>
            </w:r>
            <w:r>
              <w:t xml:space="preserve">; u 9 od 10 godina do ≈360 h; najviše ≈380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≈270 h/god</w:t>
            </w:r>
            <w:r>
              <w:t xml:space="preserve">; u 9 od 10 godina do ≈320 h; najviše ≈350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Startova agregata</w:t>
            </w:r>
          </w:p>
        </w:tc>
        <w:tc>
          <w:tcPr/>
          <w:p>
            <w:pPr>
              <w:pStyle w:val="Compact"/>
            </w:pPr>
            <w:r>
              <w:t xml:space="preserve">≈110 godišnje, najviše ≈130</w:t>
            </w:r>
          </w:p>
        </w:tc>
        <w:tc>
          <w:tcPr/>
          <w:p>
            <w:pPr>
              <w:pStyle w:val="Compact"/>
            </w:pPr>
            <w:r>
              <w:t xml:space="preserve">≈100 godišnje, najviše ≈120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Potrošnja goriva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≈990 l/god</w:t>
            </w:r>
            <w:r>
              <w:t xml:space="preserve">; spremnik od 500 l dopunjava se dva do tri puta godišnje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≈900 l/god</w:t>
            </w:r>
            <w:r>
              <w:t xml:space="preserve">; spremnik od 500 l dopunjava se dva puta godišnje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Nepokrivena potrošnja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Bez parametriranja iz Tačke 4.6 (zaustavljanje pri SoC 90 %, uobičajena struja</w:t>
      </w:r>
      <w:r>
        <w:t xml:space="preserve"> </w:t>
      </w:r>
      <w:r>
        <w:t xml:space="preserve">punjenja) agregat bi radio ≈330 h i trošio ≈1 090 l godišnje na Sjednici, odnosno ≈300 h</w:t>
      </w:r>
      <w:r>
        <w:t xml:space="preserve"> </w:t>
      </w:r>
      <w:r>
        <w:t xml:space="preserve">i ≈1 000 l na Hamzićima. Na Hamzićima vrijednosti važe bez zasjenjenja stablom; sa</w:t>
      </w:r>
      <w:r>
        <w:t xml:space="preserve"> </w:t>
      </w:r>
      <w:r>
        <w:t xml:space="preserve">stablom rad agregata raste za 1–10 h godišnje.</w:t>
      </w:r>
    </w:p>
    <w:p>
      <w:pPr>
        <w:pStyle w:val="CaptionedFigure"/>
      </w:pPr>
      <w:r>
        <w:drawing>
          <wp:inline>
            <wp:extent cx="5523978" cy="3006246"/>
            <wp:effectExtent b="0" l="0" r="0" t="0"/>
            <wp:docPr descr="Slika 7 — BS Sjednica: mjesečni energetski bilans (prosjek i raspon 2005–2023)" title="" id="54" name="Picture"/>
            <a:graphic>
              <a:graphicData uri="http://schemas.openxmlformats.org/drawingml/2006/picture">
                <pic:pic>
                  <pic:nvPicPr>
                    <pic:cNvPr descr="../TD-OUTPUT/grafika/prilog1/energetski-bilans-sjednic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978" cy="30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7 — BS Sjednica: mjesečni energetski bilans (prosjek i raspon 2005–2023)</w:t>
      </w:r>
    </w:p>
    <w:p>
      <w:pPr>
        <w:pStyle w:val="CaptionedFigure"/>
      </w:pPr>
      <w:r>
        <w:drawing>
          <wp:inline>
            <wp:extent cx="5523978" cy="3027123"/>
            <wp:effectExtent b="0" l="0" r="0" t="0"/>
            <wp:docPr descr="Slika 8 — BS Hamzići: mjesečni energetski bilans (prosjek i raspon 2005–2023)" title="" id="57" name="Picture"/>
            <a:graphic>
              <a:graphicData uri="http://schemas.openxmlformats.org/drawingml/2006/picture">
                <pic:pic>
                  <pic:nvPicPr>
                    <pic:cNvPr descr="../TD-OUTPUT/grafika/prilog1/energetski-bilans-hamzici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978" cy="302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8 — BS Hamzići: mjesečni energetski bilans (prosjek i raspon 2005–2023)</w:t>
      </w:r>
    </w:p>
    <w:p>
      <w:pPr>
        <w:pStyle w:val="CaptionedFigure"/>
      </w:pPr>
      <w:r>
        <w:drawing>
          <wp:inline>
            <wp:extent cx="5382016" cy="2680569"/>
            <wp:effectExtent b="0" l="0" r="0" t="0"/>
            <wp:docPr descr="Slika 9 — BS Hamzići: horizont, putanje Sunca i stablo JJI–JI (procjena)" title="" id="60" name="Picture"/>
            <a:graphic>
              <a:graphicData uri="http://schemas.openxmlformats.org/drawingml/2006/picture">
                <pic:pic>
                  <pic:nvPicPr>
                    <pic:cNvPr descr="../TD-OUTPUT/grafika/prilog1/horizont-hamzici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016" cy="2680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9 — BS Hamzići: horizont, putanje Sunca i stablo JJI–JI (procjena)</w:t>
      </w:r>
    </w:p>
    <w:bookmarkEnd w:id="62"/>
    <w:bookmarkEnd w:id="63"/>
    <w:sect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1"/>
      <w:szCs w:val="21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1"/>
      <w:szCs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38" Target="media/rId38.png" /><Relationship Type="http://schemas.openxmlformats.org/officeDocument/2006/relationships/image" Id="rId59" Target="media/rId59.png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2026-09-15T19:10:15Z</dcterms:created>
  <dcterms:modified xsi:type="dcterms:W3CDTF">2026-09-15T19:10:15Z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