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6.png" ContentType="image/png"/>
  <Override PartName="/word/media/rId53.png" ContentType="image/png"/>
  <Override PartName="/word/media/rId38.png" ContentType="image/png"/>
  <Override PartName="/word/media/rId59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45°: vrata i kapija SZ, klima-uređaj Stulz i hladnjak agregata JI, FN polje JZ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p>
      <w:pPr>
        <w:pStyle w:val="FirstParagraph"/>
      </w:pPr>
      <w:r>
        <w:t xml:space="preserve">Dejstva vjetra, snijega i leda Ponuđač usvaja sam, za konkretnu lokaciju, prema</w:t>
      </w:r>
      <w:r>
        <w:t xml:space="preserve"> </w:t>
      </w:r>
      <w:r>
        <w:t xml:space="preserve">standardima iz Tačke 2 i ovjerenoj projektnoj dokumentaciji lokacije iz Priloga III.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Vjetar</w:t>
            </w:r>
          </w:p>
        </w:tc>
        <w:tc>
          <w:tcPr/>
          <w:p>
            <w:pPr>
              <w:pStyle w:val="Compact"/>
            </w:pPr>
            <w:r>
              <w:t xml:space="preserve">prema BAS EN 1991-1-4 + BiH NA, uključujući faktor orografije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led prema ovjerenoj projektnoj dokumentaciji lokacije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usvojenu dubinu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tehničko-rješenje-nosive-konstrukcije"/>
    <w:p>
      <w:pPr>
        <w:pStyle w:val="Heading3"/>
      </w:pPr>
      <w:r>
        <w:t xml:space="preserve">3.2 Tehničko rješenje nosive konstrukcije</w:t>
      </w:r>
    </w:p>
    <w:p>
      <w:pPr>
        <w:pStyle w:val="FirstParagraph"/>
      </w:pPr>
      <w:r>
        <w:t xml:space="preserve">Konstrukcija se ovom specifikacijom</w:t>
      </w:r>
      <w:r>
        <w:t xml:space="preserve"> </w:t>
      </w:r>
      <w:r>
        <w:rPr>
          <w:b/>
          <w:bCs/>
        </w:rPr>
        <w:t xml:space="preserve">ne zadaje</w:t>
      </w:r>
      <w:r>
        <w:t xml:space="preserve">. Ponuđač je obavezan da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dostavi tehničko rješenje konstrukcije za prihvat fotonaponskih panela, za obje lokacije,</w:t>
      </w:r>
      <w:r>
        <w:t xml:space="preserve"> </w:t>
      </w:r>
      <w:r>
        <w:t xml:space="preserve">sa statičkim proračunom ovjerenim i potpisanim od ovlaštenog inženjera i sa specifikacijom</w:t>
      </w:r>
      <w:r>
        <w:t xml:space="preserve"> </w:t>
      </w:r>
      <w:r>
        <w:t xml:space="preserve">materijala (Tačka 5, dokaz 2).</w:t>
      </w:r>
    </w:p>
    <w:p>
      <w:pPr>
        <w:pStyle w:val="BodyText"/>
      </w:pPr>
      <w:r>
        <w:t xml:space="preserve">Dejstva (vjetar, snijeg, led) i sve projektne sile — podizanje, horizontalna sila, moment</w:t>
      </w:r>
      <w:r>
        <w:t xml:space="preserve"> </w:t>
      </w:r>
      <w:r>
        <w:t xml:space="preserve">prevrtanja i spreg po temeljnoj traci — usvaja i dokazuje Ponuđač za koncept konstrukcije</w:t>
      </w:r>
      <w:r>
        <w:t xml:space="preserve"> </w:t>
      </w:r>
      <w:r>
        <w:t xml:space="preserve">koji nudi.</w:t>
      </w:r>
      <w:r>
        <w:t xml:space="preserve"> </w:t>
      </w:r>
      <w:r>
        <w:rPr>
          <w:b/>
          <w:bCs/>
        </w:rPr>
        <w:t xml:space="preserve">Projektne vrijednosti se ne zadaju ovom specifikacijom.</w:t>
      </w:r>
    </w:p>
    <w:p>
      <w:pPr>
        <w:pStyle w:val="BodyText"/>
      </w:pPr>
      <w:r>
        <w:t xml:space="preserve">Statički proračun se dostavlja u sklopu tehničkog rješenja i uslov je za počinjanje radova.</w:t>
      </w:r>
      <w:r>
        <w:t xml:space="preserve"> </w:t>
      </w:r>
      <w:r>
        <w:t xml:space="preserve">Prije početka izvođenja radova tehničko rješenje mora biti pregledano i odobreno.</w:t>
      </w:r>
    </w:p>
    <w:p>
      <w:pPr>
        <w:pStyle w:val="BodyText"/>
      </w:pPr>
      <w:r>
        <w:t xml:space="preserve">Proračun se radi prema standardima iz Tačke 2, najmanje:</w:t>
      </w:r>
    </w:p>
    <w:p>
      <w:pPr>
        <w:pStyle w:val="Compact"/>
        <w:numPr>
          <w:ilvl w:val="0"/>
          <w:numId w:val="1001"/>
        </w:numPr>
      </w:pPr>
      <w:r>
        <w:t xml:space="preserve">BAS EN 1990 — osnove proračuna, uključujući dokaz na podizanje i prevrtanje</w:t>
      </w:r>
    </w:p>
    <w:p>
      <w:pPr>
        <w:pStyle w:val="Compact"/>
        <w:numPr>
          <w:ilvl w:val="0"/>
          <w:numId w:val="1001"/>
        </w:numPr>
      </w:pPr>
      <w:r>
        <w:t xml:space="preserve">BAS EN 1991-1-4 sa BiH nacionalnim aneksom — vjetar, uključujući faktor orografije</w:t>
      </w:r>
    </w:p>
    <w:p>
      <w:pPr>
        <w:pStyle w:val="Compact"/>
        <w:numPr>
          <w:ilvl w:val="0"/>
          <w:numId w:val="1001"/>
        </w:numPr>
      </w:pPr>
      <w:r>
        <w:t xml:space="preserve">BAS EN 1991-1-3 sa BiH nacionalnim aneksom — snijeg; radijalni led prema ovjerenoj</w:t>
      </w:r>
      <w:r>
        <w:t xml:space="preserve"> </w:t>
      </w:r>
      <w:r>
        <w:t xml:space="preserve">projektnoj dokumentaciji lokacije</w:t>
      </w:r>
    </w:p>
    <w:p>
      <w:pPr>
        <w:pStyle w:val="Compact"/>
        <w:numPr>
          <w:ilvl w:val="0"/>
          <w:numId w:val="1001"/>
        </w:numPr>
      </w:pPr>
      <w:r>
        <w:t xml:space="preserve">BAS EN 1993-1-1 — dimenzionisanje čelične konstrukcije; izvedba prema BAS EN 1090-2 (EXC2)</w:t>
      </w:r>
    </w:p>
    <w:p>
      <w:pPr>
        <w:pStyle w:val="Compact"/>
        <w:numPr>
          <w:ilvl w:val="0"/>
          <w:numId w:val="1001"/>
        </w:numPr>
      </w:pPr>
      <w:r>
        <w:t xml:space="preserve">BAS EN 1992-1-1 i BAS EN 1997-1 — temelji i geotehnički uslovi, uz dubinu smrzavanja</w:t>
      </w:r>
    </w:p>
    <w:p>
      <w:pPr>
        <w:pStyle w:val="FirstParagraph"/>
      </w:pPr>
      <w:r>
        <w:t xml:space="preserve">Napomena: za ovakvu konstrukciju mjerodavne su provjere na podizanje (uplift) i</w:t>
      </w:r>
      <w:r>
        <w:t xml:space="preserve"> </w:t>
      </w:r>
      <w:r>
        <w:t xml:space="preserve">prevrtanje, a ne nosivost tla.</w:t>
      </w:r>
    </w:p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i 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 i prema statičkom proračunu iz tehničkog rješenja Ponuđača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Projektne sile ankerisanja</w:t>
            </w:r>
          </w:p>
        </w:tc>
        <w:tc>
          <w:tcPr/>
          <w:p>
            <w:pPr>
              <w:pStyle w:val="Compact"/>
            </w:pPr>
            <w:r>
              <w:t xml:space="preserve">proizlaze iz koncepta konstrukcije koji Ponuđač nudi i iskazuju se i dokazuju u njegovom tehničkom rješenju i statičkom proračunu (Tačka 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</w:t>
            </w:r>
            <w:r>
              <w:t xml:space="preserve"> </w:t>
            </w:r>
            <w:r>
              <w:rPr>
                <w:b/>
                <w:bCs/>
              </w:rPr>
              <w:t xml:space="preserve">min. 2 ankera po lokaciji</w:t>
            </w:r>
            <w:r>
              <w:t xml:space="preserve">, do 1,5 × projektne sile iz odobrenog tehničkog rješenja,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500 × 2600 mm, jedinstvene širine po cijeloj dubini</w:t>
            </w:r>
            <w:r>
              <w:t xml:space="preserve"> </w:t>
            </w:r>
            <w:r>
              <w:t xml:space="preserve">(bez proširenja u dnu),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1,170 m³ po traci → 9,36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rova, jedinstvene širine.</w:t>
      </w:r>
      <w:r>
        <w:t xml:space="preserve"> </w:t>
      </w:r>
      <w:r>
        <w:t xml:space="preserve">Rov u stijeni siječe se</w:t>
      </w:r>
      <w:r>
        <w:t xml:space="preserve"> </w:t>
      </w:r>
      <w:r>
        <w:t xml:space="preserve">jednom širinom po cijeloj dubini — temelj širi u dnu nego u vrhu tražio bi potkopavanje i</w:t>
      </w:r>
      <w:r>
        <w:t xml:space="preserve"> </w:t>
      </w:r>
      <w:r>
        <w:t xml:space="preserve">na kršu nije izvodiv. Vlastita težina trake je dio dokaza sigurnosti na podizanje, koji</w:t>
      </w:r>
      <w:r>
        <w:t xml:space="preserve"> </w:t>
      </w:r>
      <w:r>
        <w:t xml:space="preserve">Ponuđač daje u svom statičkom proračunu. Pošto traka ispunjava rov,</w:t>
      </w:r>
      <w:r>
        <w:t xml:space="preserve"> </w:t>
      </w:r>
      <w:r>
        <w:rPr>
          <w:b/>
          <w:bCs/>
        </w:rPr>
        <w:t xml:space="preserve">zatrpavanja nema</w:t>
      </w:r>
      <w:r>
        <w:t xml:space="preserve"> </w:t>
      </w:r>
      <w:r>
        <w:t xml:space="preserve">i sav iskopani materijal se odvozi.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2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2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2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2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2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2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9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i 4.9 vrijede za obje lokacije; raspored otvora, izduv i</w:t>
      </w:r>
      <w:r>
        <w:t xml:space="preserve"> </w:t>
      </w:r>
      <w:r>
        <w:t xml:space="preserve">instalacije razlikuju se po lokaciji i dati su u Tačkama 4.3–4.5; Tačka 4.8 je samo za</w:t>
      </w:r>
      <w:r>
        <w:t xml:space="preserve"> </w:t>
      </w:r>
      <w:r>
        <w:t xml:space="preserve">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snaga prema ISO 3046-1 za nadmorsku visinu lokacije (Sjednica 1076 m n.v., Hamzići 493 m n.v.) i temperaturu okoline do +40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Uzbuda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4.5), koji uključuje kontroler agregata prije starta pri niskoj temperaturi; pomoćna sredstva za hladni start prema proizvođaču; zimsko dizel gorivo prema EN 590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3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3"/>
        </w:numPr>
      </w:pPr>
      <w:r>
        <w:t xml:space="preserve">referentne dimenzije 1050 × 600 × 1310 mm, masa prazan cca 170 kg (pun ≈590 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opterećenja na primarne nosače podne konstrukcije</w:t>
      </w:r>
    </w:p>
    <w:p>
      <w:pPr>
        <w:pStyle w:val="Compact"/>
        <w:numPr>
          <w:ilvl w:val="0"/>
          <w:numId w:val="1003"/>
        </w:numPr>
      </w:pPr>
      <w:r>
        <w:t xml:space="preserve">ispod spremnika se izvodi</w:t>
      </w:r>
      <w:r>
        <w:t xml:space="preserve"> </w:t>
      </w:r>
      <w:r>
        <w:rPr>
          <w:b/>
          <w:bCs/>
        </w:rPr>
        <w:t xml:space="preserve">prihvatno korito (kada) 1150 × 640 mm, visina ruba</w:t>
      </w:r>
      <w:r>
        <w:rPr>
          <w:b/>
          <w:bCs/>
        </w:rPr>
        <w:t xml:space="preserve"> </w:t>
      </w:r>
      <w:r>
        <w:rPr>
          <w:b/>
          <w:bCs/>
        </w:rPr>
        <w:t xml:space="preserve">200 mm</w:t>
      </w:r>
      <w:r>
        <w:t xml:space="preserve">, za prihvat kapanja i prosipanja, sa vidljivim najnižim mjestom za kontrolu</w:t>
      </w:r>
      <w:r>
        <w:t xml:space="preserve"> </w:t>
      </w:r>
      <w:r>
        <w:t xml:space="preserve">i pražnjenje</w:t>
      </w:r>
    </w:p>
    <w:p>
      <w:pPr>
        <w:pStyle w:val="Compact"/>
        <w:numPr>
          <w:ilvl w:val="0"/>
          <w:numId w:val="1003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3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3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3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3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rasvjeta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4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ograničenje ulazne snage ispravljačkog sistema na maks. 9,5 kW dok agregat radi</w:t>
      </w:r>
      <w:r>
        <w:t xml:space="preserve">,</w:t>
      </w:r>
      <w:r>
        <w:t xml:space="preserve"> </w:t>
      </w:r>
      <w:r>
        <w:t xml:space="preserve">uz zadržavanje opterećenja agregata iznad 30 %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parametriranje SMU za minimalan rad agregata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5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5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</w:t>
      </w:r>
    </w:p>
    <w:p>
      <w:pPr>
        <w:pStyle w:val="Compact"/>
        <w:numPr>
          <w:ilvl w:val="1"/>
          <w:numId w:val="1005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5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4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4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6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6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6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6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6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6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6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7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7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7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bookmarkEnd w:id="47"/>
    <w:bookmarkStart w:id="48" w:name="X6d79cfeffe5ce2618196ef2373033f410dbb286"/>
    <w:p>
      <w:pPr>
        <w:pStyle w:val="Heading3"/>
      </w:pPr>
      <w:r>
        <w:t xml:space="preserve">4.9 Preuzimanje i transport opreme Kupca — obje lokacije</w:t>
      </w:r>
    </w:p>
    <w:p>
      <w:pPr>
        <w:pStyle w:val="FirstParagraph"/>
      </w:pPr>
      <w:r>
        <w:t xml:space="preserve">Opremu hibridnog sistema nabavlja Kupac i predaje je Ponuđaču u svom skladištu.</w:t>
      </w:r>
      <w:r>
        <w:t xml:space="preserve"> </w:t>
      </w:r>
      <w:r>
        <w:t xml:space="preserve">Ponuđač je preuzima, prevozi na lokaciju i ugrađuje. Prevoz i rukovanje su dio</w:t>
      </w:r>
      <w:r>
        <w:t xml:space="preserve"> </w:t>
      </w:r>
      <w:r>
        <w:t xml:space="preserve">LOT 2 i iskazuju se u Prilogu II, po lokaciji.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Oprema Kupca</w:t>
            </w:r>
          </w:p>
        </w:tc>
        <w:tc>
          <w:tcPr/>
          <w:p>
            <w:pPr>
              <w:pStyle w:val="Compact"/>
            </w:pPr>
            <w:r>
              <w:t xml:space="preserve">fotonaponski moduli iPV585-M2A (12 kom po lokaciji), PVDB 500-15-2B, ispravljači iSSU S4875G2, baterijski moduli LFP i ormar ICC360-HA1-C1 sa pripadajućim modulima; tačan spisak Kupac daje uz narudžbu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preuzimanja</w:t>
            </w:r>
          </w:p>
        </w:tc>
        <w:tc>
          <w:tcPr/>
          <w:p>
            <w:pPr>
              <w:pStyle w:val="Compact"/>
            </w:pPr>
            <w:r>
              <w:t xml:space="preserve">skladište BH Telecom d.d.,</w:t>
            </w:r>
            <w:r>
              <w:t xml:space="preserve"> </w:t>
            </w:r>
            <w:r>
              <w:rPr>
                <w:b/>
                <w:bCs/>
              </w:rPr>
              <w:t xml:space="preserve">Azići, Bojnička bb, Sarajevo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Mjesto isporuke</w:t>
            </w:r>
          </w:p>
        </w:tc>
        <w:tc>
          <w:tcPr/>
          <w:p>
            <w:pPr>
              <w:pStyle w:val="Compact"/>
            </w:pPr>
            <w:r>
              <w:t xml:space="preserve">BS Sjednica (Bileća) i BS Hamzići (Čitluk) — svaka lokacija zasebno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Obuhvat</w:t>
            </w:r>
          </w:p>
        </w:tc>
        <w:tc>
          <w:tcPr/>
          <w:p>
            <w:pPr>
              <w:pStyle w:val="Compact"/>
            </w:pPr>
            <w:r>
              <w:t xml:space="preserve">utovar, osiguranje i učvršćenje tereta, prevoz, istovar na lokaciji i unos do mjesta ugradnje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Vozilo</w:t>
            </w:r>
          </w:p>
        </w:tc>
        <w:tc>
          <w:tcPr/>
          <w:p>
            <w:pPr>
              <w:pStyle w:val="Compact"/>
            </w:pPr>
            <w:r>
              <w:t xml:space="preserve">zatvoreno ili natkriveno vozilo; pristupni put do BS Hamzići je makadam ≈800 m × 3 m, pa Ponuđač bira vozilo koje njime prolazi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Rukovanje</w:t>
            </w:r>
          </w:p>
        </w:tc>
        <w:tc>
          <w:tcPr/>
          <w:p>
            <w:pPr>
              <w:pStyle w:val="Compact"/>
            </w:pPr>
            <w:r>
              <w:t xml:space="preserve">FN moduli u originalnoj ambalaži, uspravno, bez oslanjanja na staklo; baterijski moduli prema uputstvu proizvođača (temperatura, položaj, zaštita polova); ormar bez udara i naginjanja preko dozvoljenog ugla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preuzimanje se najavljuje skladištu najmanje 3 radna dana ranije; prevoz se usklađuje sa dinamikom montaže — oprema se ne skladišti na lokaciji duže nego što montaža traži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Dokumenti</w:t>
            </w:r>
          </w:p>
        </w:tc>
        <w:tc>
          <w:tcPr/>
          <w:p>
            <w:pPr>
              <w:pStyle w:val="Compact"/>
            </w:pPr>
            <w:r>
              <w:t xml:space="preserve">otpremnica skladišta pri preuzimanju i</w:t>
            </w:r>
            <w:r>
              <w:t xml:space="preserve"> </w:t>
            </w:r>
            <w:r>
              <w:rPr>
                <w:b/>
                <w:bCs/>
              </w:rPr>
              <w:t xml:space="preserve">zapisnik o preuzimanju opreme na lokaciji</w:t>
            </w:r>
            <w:r>
              <w:t xml:space="preserve"> </w:t>
            </w:r>
            <w:r>
              <w:t xml:space="preserve">(spisak, količine, stanje ambalaže, serijski brojevi), potpisan od Ponuđača i Kupca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Odgovornost</w:t>
            </w:r>
          </w:p>
        </w:tc>
        <w:tc>
          <w:tcPr/>
          <w:p>
            <w:pPr>
              <w:pStyle w:val="Compact"/>
            </w:pPr>
            <w:r>
              <w:t xml:space="preserve">od potpisa otpremnice do zapisnika o primopredaji radova opremu čuva Ponuđač; oštećenu ili izgubljenu opremu nadoknađuje o svom trošku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; dokazi koji</w:t>
      </w:r>
      <w:r>
        <w:t xml:space="preserve"> </w:t>
      </w:r>
      <w:r>
        <w:t xml:space="preserve">moraju biti pregledani i odobreni</w:t>
      </w:r>
      <w:r>
        <w:t xml:space="preserve"> </w:t>
      </w:r>
      <w:r>
        <w:rPr>
          <w:b/>
          <w:bCs/>
        </w:rPr>
        <w:t xml:space="preserve">prije početka izvođenja radova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POČETAK RADOVA</w:t>
      </w:r>
      <w:r>
        <w:t xml:space="preserve">. Dokazi iz realizacije i primopredaje dostavljaju se</w:t>
      </w:r>
      <w:r>
        <w:t xml:space="preserve"> </w:t>
      </w:r>
      <w:r>
        <w:rPr>
          <w:b/>
          <w:bCs/>
        </w:rPr>
        <w:t xml:space="preserve">za svaku</w:t>
      </w:r>
      <w:r>
        <w:rPr>
          <w:b/>
          <w:bCs/>
        </w:rPr>
        <w:t xml:space="preserve"> </w:t>
      </w:r>
      <w:r>
        <w:rPr>
          <w:b/>
          <w:bCs/>
        </w:rPr>
        <w:t xml:space="preserve">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prema standardima iz Tačke 3.2, ovjeren i potpisan od ovlaštenog inženjera, sa dokazom na podizanje i prevrtanje — za obje lokacije. Dostavlja se u sklopu tehničkog rješenja i uslov je za počinjanje radova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POČETAK RADOVA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Tehničko rješenje konstrukcije za prihvat fotonaponskih panela za predmetnu lokaciju: tehnički nacrti konstrukcije i temelja, statički proračun i specifikacija materijala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2 ankera po lokaciji)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Otpremnica skladišta Azići (Bojnička bb) i zapisnik o preuzimanju opreme Kupca na lokaciji, po lokaciji (Tačka 4.9)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Derating snage agregata prema ISO 3046-1, od proizvođača, za nadmorsku visinu i projektnu temperaturu obje lokacije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</w:tbl>
    <w:bookmarkEnd w:id="50"/>
    <w:bookmarkStart w:id="51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min. 2 ankera po lokaciji, do 1,5 × projektne sile iz odobrenog tehničkog rješenja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1"/>
    <w:bookmarkStart w:id="52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8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8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8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8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2"/>
    <w:bookmarkStart w:id="62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4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7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60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2"/>
    <w:bookmarkEnd w:id="63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3" Target="media/rId53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2026-09-16T02:57:13Z</dcterms:created>
  <dcterms:modified xsi:type="dcterms:W3CDTF">2026-09-16T02:57:13Z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