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6.png" ContentType="image/png"/>
  <Override PartName="/word/media/rId53.png" ContentType="image/png"/>
  <Override PartName="/word/media/rId38.png" ContentType="image/png"/>
  <Override PartName="/word/media/rId59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rPr>
          <w:b/>
          <w:bCs/>
        </w:rPr>
        <w:t xml:space="preserve">Verzija:</w:t>
      </w:r>
      <w:r>
        <w:t xml:space="preserve"> </w:t>
      </w:r>
      <w:r>
        <w:t xml:space="preserve">Rev 1 zajedničke TD, 11.09.2026. (za lokaciju Sjednica nastavak Rev 9)</w:t>
      </w:r>
    </w:p>
    <w:p>
      <w:pPr>
        <w:pStyle w:val="BodyText"/>
      </w:pPr>
      <w:r>
        <w:t xml:space="preserve">Ovaj Prilog utvrđuje tehničke zahtjeve i dokaze koje Ponuđač dostavlja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kao uslov kvalifikacije — ponuda koja ih ne sadrži smatra se neprihvatljivom.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pPr>
        <w:pStyle w:val="BodyText"/>
      </w:pPr>
      <w:r>
        <w:t xml:space="preserve">U slučaju neslaganja između dokumenata TD mjerodavni su redom: (1) Tenderska</w:t>
      </w:r>
      <w:r>
        <w:t xml:space="preserve"> </w:t>
      </w:r>
      <w:r>
        <w:t xml:space="preserve">dokumentacija (TD), (2) Prilog I, (3) Prilog II (Obrazac za cijenu ponude, zaseban za</w:t>
      </w:r>
      <w:r>
        <w:t xml:space="preserve"> </w:t>
      </w:r>
      <w:r>
        <w:t xml:space="preserve">svaki LOT), (4) Prilog III (grafički prilozi).</w:t>
      </w:r>
    </w:p>
    <w:p>
      <w:pPr>
        <w:pStyle w:val="BodyText"/>
      </w:pPr>
      <w:r>
        <w:t xml:space="preserve">Prilog III sadrži i preuzete stranice ovjerenih projekata lokacija, koje služe samo kao</w:t>
      </w:r>
      <w:r>
        <w:t xml:space="preserve"> </w:t>
      </w:r>
      <w:r>
        <w:t xml:space="preserve">podloga;</w:t>
      </w:r>
      <w:r>
        <w:t xml:space="preserve"> </w:t>
      </w:r>
      <w:r>
        <w:rPr>
          <w:b/>
          <w:bCs/>
        </w:rPr>
        <w:t xml:space="preserve">mjerodavan raspored opreme i otvora u kontejneru je onaj sa crteža M-01</w:t>
      </w:r>
      <w:r>
        <w:rPr>
          <w:b/>
          <w:bCs/>
        </w:rPr>
        <w:t xml:space="preserve"> </w:t>
      </w:r>
      <w:r>
        <w:rPr>
          <w:b/>
          <w:bCs/>
        </w:rPr>
        <w:t xml:space="preserve">(Sjednica) i H-04 (Hamzići).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 bez opreme;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 (Google Maps, Naručilac 11.09.2026):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 (Google Maps, Naručilac 11.09.2026): vrata i kapija SZ, klima-uređaj Stulz i hladnjak agregata JI, FN polje JZ; ovjereni crtež iz 2017. je zakrenut ≈180°; orijentacija se potvrđuje obilaskom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  <w:tc>
          <w:tcPr/>
          <w:p>
            <w:pPr>
              <w:pStyle w:val="Compact"/>
            </w:pPr>
            <w:r>
              <w:t xml:space="preserve">Napomena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Vjetar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(udar 3 s ≈ 45 m/s)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(izvedeno iz ovjerenog projekta 0,69–0,96 kN/m²)</w:t>
            </w:r>
          </w:p>
        </w:tc>
        <w:tc>
          <w:tcPr/>
          <w:p>
            <w:pPr>
              <w:pStyle w:val="Compact"/>
            </w:pPr>
            <w:r>
              <w:t xml:space="preserve">BAS EN 1991-1-4 + BiH NA —</w:t>
            </w:r>
            <w:r>
              <w:t xml:space="preserve"> </w:t>
            </w:r>
            <w:r>
              <w:rPr>
                <w:b/>
                <w:bCs/>
              </w:rPr>
              <w:t xml:space="preserve">mjerodavno dejstvo</w:t>
            </w:r>
            <w:r>
              <w:t xml:space="preserve">; jedna konstrukcija za obje lokacije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μ₁ = 0,4 pri 45°; ≈0,5 m opažene visine → ≈0,6 kN/m²</w:t>
            </w:r>
          </w:p>
        </w:tc>
        <w:tc>
          <w:tcPr/>
          <w:p>
            <w:pPr>
              <w:pStyle w:val="Compact"/>
            </w:pPr>
            <w:r>
              <w:t xml:space="preserve">sk = 2,10 kN/m² (projekat) → ≈0,84 kN/m² na ravni panela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NA; provjera obavezna, nije mjerodavna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20 mm, gustina 300 kg/m³</w:t>
            </w:r>
          </w:p>
        </w:tc>
        <w:tc>
          <w:tcPr/>
          <w:p>
            <w:pPr>
              <w:pStyle w:val="Compact"/>
            </w:pPr>
            <w:r>
              <w:t xml:space="preserve">radijalni 20 mm, gustina 500 kg/m³ (projekat stuba)</w:t>
            </w:r>
          </w:p>
        </w:tc>
        <w:tc>
          <w:tcPr/>
          <w:p>
            <w:pPr>
              <w:pStyle w:val="Compact"/>
            </w:pPr>
            <w:r>
              <w:t xml:space="preserve">mjerodavan kao akrecija na profile i spojeve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  <w:tc>
          <w:tcPr/>
          <w:p>
            <w:pPr>
              <w:pStyle w:val="Compact"/>
            </w:pPr>
            <w:r>
              <w:t xml:space="preserve">radni opseg opreme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  <w:tc>
          <w:tcPr/>
          <w:p>
            <w:pPr>
              <w:pStyle w:val="Compact"/>
            </w:pPr>
            <w:r>
              <w:t xml:space="preserve">derating agregata i dimenzionisanje ventilacije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 (projekat)</w:t>
            </w:r>
          </w:p>
        </w:tc>
        <w:tc>
          <w:tcPr/>
          <w:p>
            <w:pPr>
              <w:pStyle w:val="Compact"/>
            </w:pPr>
            <w:r>
              <w:t xml:space="preserve">Ponuđač potvrđuje geomehaničkim uvidom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  <w:tc>
          <w:tcPr/>
          <w:p>
            <w:pPr>
              <w:pStyle w:val="Compact"/>
            </w:pPr>
            <w:r>
              <w:t xml:space="preserve">Ponuđač navodi usvojenu dubinu u dnevniku/knjizi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projektna-opterećenja-konstrukcije"/>
    <w:p>
      <w:pPr>
        <w:pStyle w:val="Heading3"/>
      </w:pPr>
      <w:r>
        <w:t xml:space="preserve">3.2 Projektna opterećenja konstrukcije</w:t>
      </w:r>
    </w:p>
    <w:p>
      <w:pPr>
        <w:pStyle w:val="FirstParagraph"/>
      </w:pPr>
      <w:r>
        <w:rPr>
          <w:b/>
          <w:bCs/>
        </w:rPr>
        <w:t xml:space="preserve">Izrada konstrukcije:</w:t>
      </w:r>
      <w:r>
        <w:t xml:space="preserve"> </w:t>
      </w:r>
      <w:r>
        <w:t xml:space="preserve">zahtijeva se</w:t>
      </w:r>
      <w:r>
        <w:t xml:space="preserve"> </w:t>
      </w:r>
      <w:r>
        <w:rPr>
          <w:b/>
          <w:bCs/>
        </w:rPr>
        <w:t xml:space="preserve">CUSTOM IZRADA</w:t>
      </w:r>
      <w:r>
        <w:t xml:space="preserve"> </w:t>
      </w:r>
      <w:r>
        <w:t xml:space="preserve">konstrukcije dimenzionisana i</w:t>
      </w:r>
      <w:r>
        <w:t xml:space="preserve"> </w:t>
      </w:r>
      <w:r>
        <w:t xml:space="preserve">dokazana za stvarna opterećenja i uticaje na lokalitetu. Nijedan kataloški nagib Huawei</w:t>
      </w:r>
      <w:r>
        <w:t xml:space="preserve"> </w:t>
      </w:r>
      <w:r>
        <w:t xml:space="preserve">nosača tipa A nije usklađen sa qp lokacija (deklarisano 0,52–0,87 kN/m² prema</w:t>
      </w:r>
      <w:r>
        <w:t xml:space="preserve"> </w:t>
      </w:r>
      <w:r>
        <w:t xml:space="preserve">zahtijevanih 1,20 kN/m²).</w:t>
      </w:r>
    </w:p>
    <w:p>
      <w:pPr>
        <w:pStyle w:val="BodyText"/>
      </w:pPr>
      <w:r>
        <w:rPr>
          <w:b/>
          <w:bCs/>
        </w:rPr>
        <w:t xml:space="preserve">Podatak lokaliteta</w:t>
      </w:r>
      <w:r>
        <w:t xml:space="preserve"> </w:t>
      </w:r>
      <w:r>
        <w:t xml:space="preserve">(obavezujuće, iz ovjerene projektne dokumentacije lokacije):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Pritisak vjetra</w:t>
            </w:r>
          </w:p>
        </w:tc>
        <w:tc>
          <w:tcPr/>
          <w:p>
            <w:pPr>
              <w:pStyle w:val="Compact"/>
            </w:pPr>
            <w:r>
              <w:t xml:space="preserve">qp ≥ 1,20 kN/m² na obje lokacije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Koeficijent sile</w:t>
            </w:r>
          </w:p>
        </w:tc>
        <w:tc>
          <w:tcPr/>
          <w:p>
            <w:pPr>
              <w:pStyle w:val="Compact"/>
            </w:pPr>
            <w:r>
              <w:t xml:space="preserve">cf ≥ 1,5 pri 45° prema EN 1991-1-4 §7.3, osim ako se proračunom dokaže drugačije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Mjerodavno</w:t>
            </w:r>
          </w:p>
        </w:tc>
        <w:tc>
          <w:tcPr/>
          <w:p>
            <w:pPr>
              <w:pStyle w:val="Compact"/>
            </w:pPr>
            <w:r>
              <w:t xml:space="preserve">podizanje (uplift) i prevrtanje, a NE nosivost tla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Projektne sile po nosaču se ne zadaju.</w:t>
      </w:r>
      <w:r>
        <w:t xml:space="preserve"> </w:t>
      </w:r>
      <w:r>
        <w:t xml:space="preserve">One proizlaze iz koncepta konstrukcije koji</w:t>
      </w:r>
      <w:r>
        <w:t xml:space="preserve"> </w:t>
      </w:r>
      <w:r>
        <w:t xml:space="preserve">Ponuđač nudi i iskazuju se i dokazuju u njegovom tehničkom rješenju i statičkom proračunu</w:t>
      </w:r>
      <w:r>
        <w:t xml:space="preserve"> </w:t>
      </w:r>
      <w:r>
        <w:t xml:space="preserve">(Tačka 5, dokaz 2). Vrijednosti u tabeli ispod su</w:t>
      </w:r>
      <w:r>
        <w:t xml:space="preserve"> </w:t>
      </w:r>
      <w:r>
        <w:rPr>
          <w:b/>
          <w:bCs/>
        </w:rPr>
        <w:t xml:space="preserve">orijentacione</w:t>
      </w:r>
      <w:r>
        <w:t xml:space="preserve">, izvedene za referentnu</w:t>
      </w:r>
      <w:r>
        <w:t xml:space="preserve"> </w:t>
      </w:r>
      <w:r>
        <w:t xml:space="preserve">geometriju polja iz Tačke 3.1, i služe samo za procjenu reda veličine: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 (orijentaciono)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Sila podizanja po nosaču</w:t>
            </w:r>
          </w:p>
        </w:tc>
        <w:tc>
          <w:tcPr/>
          <w:p>
            <w:pPr>
              <w:pStyle w:val="Compact"/>
            </w:pPr>
            <w:r>
              <w:t xml:space="preserve">14,1 kN (GSN, γQ = 1,5 / γG,fav = 0,9; vlastita težina konstrukcije se zanemaruje)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sila po nosaču</w:t>
            </w:r>
          </w:p>
        </w:tc>
        <w:tc>
          <w:tcPr/>
          <w:p>
            <w:pPr>
              <w:pStyle w:val="Compact"/>
            </w:pPr>
            <w:r>
              <w:t xml:space="preserve">10,0 kN (GSN)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prevrtanja po nosaču</w:t>
            </w:r>
          </w:p>
        </w:tc>
        <w:tc>
          <w:tcPr/>
          <w:p>
            <w:pPr>
              <w:pStyle w:val="Compact"/>
            </w:pPr>
            <w:r>
              <w:t xml:space="preserve">25,7 kNm (GSN)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Spreg po temeljnoj traci</w:t>
            </w:r>
          </w:p>
        </w:tc>
        <w:tc>
          <w:tcPr/>
          <w:p>
            <w:pPr>
              <w:pStyle w:val="Compact"/>
            </w:pPr>
            <w:r>
              <w:t xml:space="preserve">16,1 kN pri razmaku traka 1600 mm</w:t>
            </w:r>
          </w:p>
        </w:tc>
      </w:tr>
    </w:tbl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Projektne sile ankerisanja</w:t>
            </w:r>
          </w:p>
        </w:tc>
        <w:tc>
          <w:tcPr/>
          <w:p>
            <w:pPr>
              <w:pStyle w:val="Compact"/>
            </w:pPr>
            <w:r>
              <w:t xml:space="preserve">proizlaze iz koncepta konstrukcije koji Ponuđač nudi i iskazuju se u tehničkom rješenju; mjerodavno opterećenje sidrenja je</w:t>
            </w:r>
            <w:r>
              <w:t xml:space="preserve"> </w:t>
            </w:r>
            <w:r>
              <w:rPr>
                <w:b/>
                <w:bCs/>
              </w:rPr>
              <w:t xml:space="preserve">sila po traci od momenta prevrtanja</w:t>
            </w:r>
            <w:r>
              <w:t xml:space="preserve"> </w:t>
            </w:r>
            <w:r>
              <w:t xml:space="preserve">(Tačka 3.2, orijentaciono)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 ≥10 % ugrađenih ankera, min. 2 po nosaču, do 1,5 × projektne sile,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podizanje:</w:t>
      </w:r>
      <w:r>
        <w:t xml:space="preserve"> </w:t>
      </w:r>
      <w:r>
        <w:rPr>
          <w:rStyle w:val="VerbatimChar"/>
        </w:rPr>
        <w:t xml:space="preserve">1,170 m³ × 24 kN/m³ × 0,9 = 25,3 kN</w:t>
      </w:r>
      <w:r>
        <w:t xml:space="preserve"> </w:t>
      </w:r>
      <w:r>
        <w:t xml:space="preserve">prema sprezi od 16,1 kN po traci. Traka manje</w:t>
      </w:r>
      <w:r>
        <w:t xml:space="preserve"> </w:t>
      </w:r>
      <w:r>
        <w:t xml:space="preserve">zapremine tu provjeru ne zatvara vlastitom težinom. Pošto traka ispunjava rov,</w:t>
      </w:r>
      <w:r>
        <w:t xml:space="preserve"> </w:t>
      </w:r>
      <w:r>
        <w:rPr>
          <w:b/>
          <w:bCs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1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1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1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1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1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1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9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i 4.9 vrijede za obje lokacije; raspored otvora, izduv i</w:t>
      </w:r>
      <w:r>
        <w:t xml:space="preserve"> </w:t>
      </w:r>
      <w:r>
        <w:t xml:space="preserve">instalacije razlikuju se po lokaciji i dati su u Tačkama 4.3–4.5; Tačka 4.8 je samo za</w:t>
      </w:r>
      <w:r>
        <w:t xml:space="preserve"> </w:t>
      </w:r>
      <w:r>
        <w:t xml:space="preserve">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Sjednica: 1076 m n.v., Hamzići: 493 m n.v., temperatura okoline do +40 °C (ISO 3046-1); Ponuđač dostavlja derating proizvođača za obje lokacije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Uzbuda (OBAVEZNO)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8528-3. Standardna SHUNT pobuda</w:t>
            </w:r>
            <w:r>
              <w:t xml:space="preserve"> </w:t>
            </w:r>
            <w:r>
              <w:rPr>
                <w:b/>
                <w:bCs/>
              </w:rPr>
              <w:t xml:space="preserve">NIJE prihvatljiva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4.5); uključuje ga kontroler agregata samo za kratko predgrijavanje prije starta pri niskoj temperaturi; uz to pomoćna sredstva za hladni start prema proizvođaču i zimsko dizel gorivo prema EN 590. Grijač prostora se ne predviđa — agregat je jedini izvor izmjeničnog napona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2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2"/>
        </w:numPr>
      </w:pPr>
      <w:r>
        <w:t xml:space="preserve">referentne dimenzije 1050 × 600 × 1310 mm, masa cca 170 kg — pun ≈590 kg na</w:t>
      </w:r>
      <w:r>
        <w:t xml:space="preserve"> </w:t>
      </w:r>
      <w:r>
        <w:t xml:space="preserve">0,63 m² = 9,2 kN/m²; unutar projektnih 10,00 kN/m²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na primarne nosače podne konstrukcije. Opterećenja su</w:t>
      </w:r>
      <w:r>
        <w:t xml:space="preserve"> </w:t>
      </w:r>
      <w:r>
        <w:t xml:space="preserve">koncentrisana na mali broj sekundarnih nosača (HOP 100 × 50 × 3 na 0,51 m), dok se</w:t>
      </w:r>
      <w:r>
        <w:t xml:space="preserve"> </w:t>
      </w:r>
      <w:r>
        <w:t xml:space="preserve">10,00 kN/m² odnosi na ravnomjerno raspodijeljeno opterećenje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sekundarnu zaštitu čini međuplašt</w:t>
      </w:r>
      <w:r>
        <w:t xml:space="preserve"> </w:t>
      </w:r>
      <w:r>
        <w:t xml:space="preserve">dvoplašnog spremnika sa sondom za detekciju</w:t>
      </w:r>
      <w:r>
        <w:t xml:space="preserve"> </w:t>
      </w:r>
      <w:r>
        <w:t xml:space="preserve">curenja, pa tankvana zapremine ≥110 %</w:t>
      </w:r>
      <w:r>
        <w:t xml:space="preserve"> </w:t>
      </w:r>
      <w:r>
        <w:rPr>
          <w:b/>
          <w:bCs/>
        </w:rPr>
        <w:t xml:space="preserve">NIJE zahtijevana</w:t>
      </w:r>
      <w:r>
        <w:t xml:space="preserve">. Ispod spremnika se</w:t>
      </w:r>
      <w:r>
        <w:t xml:space="preserve"> </w:t>
      </w:r>
      <w:r>
        <w:t xml:space="preserve">izvodi</w:t>
      </w:r>
      <w:r>
        <w:t xml:space="preserve"> </w:t>
      </w:r>
      <w:r>
        <w:rPr>
          <w:b/>
          <w:bCs/>
        </w:rPr>
        <w:t xml:space="preserve">prihvatno korito (kada) 1150 × 640 mm, visina ruba 200 mm</w:t>
      </w:r>
      <w:r>
        <w:t xml:space="preserve">, za prihvat</w:t>
      </w:r>
      <w:r>
        <w:t xml:space="preserve"> </w:t>
      </w:r>
      <w:r>
        <w:t xml:space="preserve">kapanja i prosipanja, sa vidljivim najnižim mjestom za kontrolu i pražnjenje</w:t>
      </w:r>
    </w:p>
    <w:p>
      <w:pPr>
        <w:pStyle w:val="Compact"/>
        <w:numPr>
          <w:ilvl w:val="0"/>
          <w:numId w:val="1002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2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2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2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2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Struja kvara (SHUNT)</w:t>
            </w:r>
          </w:p>
        </w:tc>
        <w:tc>
          <w:tcPr/>
          <w:p>
            <w:pPr>
              <w:pStyle w:val="Compact"/>
            </w:pPr>
            <w:r>
              <w:t xml:space="preserve">prva poluperioda ≈333 A (12,8 × In) → prelazna ≈169 A (6,5 × In) →</w:t>
            </w:r>
            <w:r>
              <w:t xml:space="preserve"> </w:t>
            </w:r>
            <w:r>
              <w:rPr>
                <w:b/>
                <w:bCs/>
              </w:rPr>
              <w:t xml:space="preserve">TRAJNA ≈13 A (0,5 × In)</w:t>
            </w:r>
            <w:r>
              <w:t xml:space="preserve"> </w:t>
            </w:r>
            <w:r>
              <w:t xml:space="preserve">— ne aktivira zaštitu (</w:t>
            </w:r>
            <w:r>
              <w:rPr>
                <w:b/>
                <w:bCs/>
              </w:rPr>
              <w:t xml:space="preserve">ne zadovoljava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snimiti stanje i prevezati postojeće krugove u novi GRO; signalna rasvjeta antenskog stuba (K7)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svjetiljka za obilježavanje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Svjetiljka za obilježavanje antenskog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3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ograničenje ulazne snage ispravljačkog sistema na maks. 9,5 kW dok agregat radi.</w:t>
      </w:r>
      <w:r>
        <w:t xml:space="preserve"> </w:t>
      </w:r>
      <w:r>
        <w:t xml:space="preserve">Derativana prime snaga agregata je 11,6 kW na Sjednici i 12,3 kW na Hamzićima, a</w:t>
      </w:r>
      <w:r>
        <w:t xml:space="preserve"> </w:t>
      </w:r>
      <w:r>
        <w:t xml:space="preserve">neograničen ispravljački sistem vuče ≈12,5 kW. Granica ujedno drži agregat iznad 30 %</w:t>
      </w:r>
      <w:r>
        <w:t xml:space="preserve"> </w:t>
      </w:r>
      <w:r>
        <w:t xml:space="preserve">opterećenja i sprječava mokri rad motora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parametriranje SMU za minimalan rad agregata (OBAVEZNO)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4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4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polje; punjenje baterija agregatom do vrha povećava rad agregata za 10–16 %</w:t>
      </w:r>
    </w:p>
    <w:p>
      <w:pPr>
        <w:pStyle w:val="Compact"/>
        <w:numPr>
          <w:ilvl w:val="1"/>
          <w:numId w:val="1004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4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3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3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5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5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5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5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5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5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5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6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6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6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bookmarkEnd w:id="47"/>
    <w:bookmarkStart w:id="48" w:name="X6d79cfeffe5ce2618196ef2373033f410dbb286"/>
    <w:p>
      <w:pPr>
        <w:pStyle w:val="Heading3"/>
      </w:pPr>
      <w:r>
        <w:t xml:space="preserve">4.9 Preuzimanje i transport opreme Kupca — obje lokacije</w:t>
      </w:r>
    </w:p>
    <w:p>
      <w:pPr>
        <w:pStyle w:val="FirstParagraph"/>
      </w:pPr>
      <w:r>
        <w:t xml:space="preserve">Opremu hibridnog sistema nabavlja Kupac i predaje je Ponuđaču u svom skladištu.</w:t>
      </w:r>
      <w:r>
        <w:t xml:space="preserve"> </w:t>
      </w:r>
      <w:r>
        <w:t xml:space="preserve">Ponuđač je preuzima, prevozi na lokaciju i ugrađuje. Prevoz i rukovanje su dio</w:t>
      </w:r>
      <w:r>
        <w:t xml:space="preserve"> </w:t>
      </w:r>
      <w:r>
        <w:t xml:space="preserve">LOT 2 i iskazuju se u Prilogu II, po lokaciji.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Oprema Kupca</w:t>
            </w:r>
          </w:p>
        </w:tc>
        <w:tc>
          <w:tcPr/>
          <w:p>
            <w:pPr>
              <w:pStyle w:val="Compact"/>
            </w:pPr>
            <w:r>
              <w:t xml:space="preserve">fotonaponski moduli iPV585-M2A (12 kom po lokaciji), PVDB 500-15-2B, ispravljači iSSU S4875G2, baterijski moduli LFP i ormar ICC360-HA1-C1 sa pripadajućim modulima; tačan spisak Kupac daje uz narudžbu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preuzimanja</w:t>
            </w:r>
          </w:p>
        </w:tc>
        <w:tc>
          <w:tcPr/>
          <w:p>
            <w:pPr>
              <w:pStyle w:val="Compact"/>
            </w:pPr>
            <w:r>
              <w:t xml:space="preserve">skladište BH Telecom d.d.,</w:t>
            </w:r>
            <w:r>
              <w:t xml:space="preserve"> </w:t>
            </w:r>
            <w:r>
              <w:rPr>
                <w:b/>
                <w:bCs/>
              </w:rPr>
              <w:t xml:space="preserve">Azići, Bojnička bb, Sarajevo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isporuke</w:t>
            </w:r>
          </w:p>
        </w:tc>
        <w:tc>
          <w:tcPr/>
          <w:p>
            <w:pPr>
              <w:pStyle w:val="Compact"/>
            </w:pPr>
            <w:r>
              <w:t xml:space="preserve">BS Sjednica (Bileća) i BS Hamzići (Čitluk) — svaka lokacija zasebno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Obuhvat</w:t>
            </w:r>
          </w:p>
        </w:tc>
        <w:tc>
          <w:tcPr/>
          <w:p>
            <w:pPr>
              <w:pStyle w:val="Compact"/>
            </w:pPr>
            <w:r>
              <w:t xml:space="preserve">utovar, osiguranje i učvršćenje tereta, prevoz, istovar na lokaciji i unos do mjesta ugradnje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Vozilo</w:t>
            </w:r>
          </w:p>
        </w:tc>
        <w:tc>
          <w:tcPr/>
          <w:p>
            <w:pPr>
              <w:pStyle w:val="Compact"/>
            </w:pPr>
            <w:r>
              <w:t xml:space="preserve">zatvoreno ili natkriveno vozilo; pristupni put do BS Hamzići je makadam ≈800 m × 3 m, pa Ponuđač bira vozilo koje njime prolazi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Rukovanje</w:t>
            </w:r>
          </w:p>
        </w:tc>
        <w:tc>
          <w:tcPr/>
          <w:p>
            <w:pPr>
              <w:pStyle w:val="Compact"/>
            </w:pPr>
            <w:r>
              <w:t xml:space="preserve">FN moduli u originalnoj ambalaži, uspravno, bez oslanjanja na staklo; baterijski moduli prema uputstvu proizvođača (temperatura, položaj, zaštita polova); ormar bez udara i naginjanja preko dozvoljenog ugla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preuzimanje se najavljuje skladištu najmanje 3 radna dana ranije; prevoz se usklađuje sa dinamikom montaže — oprema se ne skladišti na lokaciji duže nego što montaža traži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Dokumenti</w:t>
            </w:r>
          </w:p>
        </w:tc>
        <w:tc>
          <w:tcPr/>
          <w:p>
            <w:pPr>
              <w:pStyle w:val="Compact"/>
            </w:pPr>
            <w:r>
              <w:t xml:space="preserve">otpremnica skladišta pri preuzimanju i</w:t>
            </w:r>
            <w:r>
              <w:t xml:space="preserve"> </w:t>
            </w:r>
            <w:r>
              <w:rPr>
                <w:b/>
                <w:bCs/>
              </w:rPr>
              <w:t xml:space="preserve">zapisnik o preuzimanju opreme na lokaciji</w:t>
            </w:r>
            <w:r>
              <w:t xml:space="preserve"> </w:t>
            </w:r>
            <w:r>
              <w:t xml:space="preserve">(spisak, količine, stanje ambalaže, serijski brojevi), potpisan od Ponuđača i Kupca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Odgovornost</w:t>
            </w:r>
          </w:p>
        </w:tc>
        <w:tc>
          <w:tcPr/>
          <w:p>
            <w:pPr>
              <w:pStyle w:val="Compact"/>
            </w:pPr>
            <w:r>
              <w:t xml:space="preserve">od potpisa otpremnice do zapisnika o primopredaji radova opremu čuva Ponuđač; oštećenu ili izgubljenu opremu nadoknađuje o svom trošku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/>
          <w:bCs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/>
          <w:bCs/>
        </w:rPr>
        <w:t xml:space="preserve">za svaku</w:t>
      </w:r>
      <w:r>
        <w:rPr>
          <w:b/>
          <w:bCs/>
        </w:rPr>
        <w:t xml:space="preserve"> </w:t>
      </w:r>
      <w:r>
        <w:rPr>
          <w:b/>
          <w:bCs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10 %), po lokaciji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Otpremnica skladišta Azići (Bojnička bb) i zapisnik o preuzimanju opreme Kupca na lokaciji, po lokaciji (Tačka 4.9)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</w:tbl>
    <w:bookmarkEnd w:id="50"/>
    <w:bookmarkStart w:id="51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≥10 % ankera, do 1,5 × projektne sile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1"/>
    <w:bookmarkStart w:id="52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7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7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7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7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2"/>
    <w:bookmarkStart w:id="62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4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7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60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62"/>
    <w:bookmarkEnd w:id="63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2026-09-14T07:10:55Z</dcterms:created>
  <dcterms:modified xsi:type="dcterms:W3CDTF">2026-09-14T07:10:55Z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