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i kapija SZ, klima-uređaj Stulz i hladnjak agregata JI, FN polje JZ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p>
      <w:pPr>
        <w:pStyle w:val="FirstParagraph"/>
      </w:pPr>
      <w:r>
        <w:t xml:space="preserve">Dejstva vjetra, snijega i leda Ponuđač usvaja sam, za konkretnu lokaciju, prema</w:t>
      </w:r>
      <w:r>
        <w:t xml:space="preserve"> </w:t>
      </w:r>
      <w:r>
        <w:t xml:space="preserve">standardima iz Tačke 2 i ovjerenoj projektnoj dokumentaciji lokacije iz Priloga III.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Vjetar</w:t>
            </w:r>
          </w:p>
        </w:tc>
        <w:tc>
          <w:tcPr/>
          <w:p>
            <w:pPr>
              <w:pStyle w:val="Compact"/>
            </w:pPr>
            <w:r>
              <w:t xml:space="preserve">prema BAS EN 1991-1-4 + BiH NA, uključujući faktor orografije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led prema ovjerenoj projektnoj dokumentaciji lokacije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usvojenu dubinu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tehničko-rješenje-nosive-konstrukcije"/>
    <w:p>
      <w:pPr>
        <w:pStyle w:val="Heading3"/>
      </w:pPr>
      <w:r>
        <w:t xml:space="preserve">3.2 Tehničko rješenje nosive konstrukcije</w:t>
      </w:r>
    </w:p>
    <w:p>
      <w:pPr>
        <w:pStyle w:val="FirstParagraph"/>
      </w:pPr>
      <w:r>
        <w:t xml:space="preserve">Konstrukcija se ovom specifikacijom</w:t>
      </w:r>
      <w:r>
        <w:t xml:space="preserve"> </w:t>
      </w:r>
      <w:r>
        <w:rPr>
          <w:b/>
          <w:bCs/>
        </w:rPr>
        <w:t xml:space="preserve">ne zadaje</w:t>
      </w:r>
      <w:r>
        <w:t xml:space="preserve">. Ponuđač je obavezan da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dostavi tehničko rješenje konstrukcije za prihvat fotonaponskih panela, za obje lokacije,</w:t>
      </w:r>
      <w:r>
        <w:t xml:space="preserve"> </w:t>
      </w:r>
      <w:r>
        <w:t xml:space="preserve">sa statičkim proračunom ovjerenim i potpisanim od ovlaštenog inženjera i sa specifikacijom</w:t>
      </w:r>
      <w:r>
        <w:t xml:space="preserve"> </w:t>
      </w:r>
      <w:r>
        <w:t xml:space="preserve">materijala (Tačka 5, dokaz 2).</w:t>
      </w:r>
    </w:p>
    <w:p>
      <w:pPr>
        <w:pStyle w:val="BodyText"/>
      </w:pPr>
      <w:r>
        <w:t xml:space="preserve">Dejstva (vjetar, snijeg, led) i sve projektne sile — podizanje, horizontalna sila, moment</w:t>
      </w:r>
      <w:r>
        <w:t xml:space="preserve"> </w:t>
      </w:r>
      <w:r>
        <w:t xml:space="preserve">prevrtanja i spreg po temeljnoj traci — usvaja i dokazuje Ponuđač za koncept konstrukcije</w:t>
      </w:r>
      <w:r>
        <w:t xml:space="preserve"> </w:t>
      </w:r>
      <w:r>
        <w:t xml:space="preserve">koji nudi.</w:t>
      </w:r>
      <w:r>
        <w:t xml:space="preserve"> </w:t>
      </w:r>
      <w:r>
        <w:rPr>
          <w:b/>
          <w:bCs/>
        </w:rPr>
        <w:t xml:space="preserve">Projektne vrijednosti se ne zadaju ovom specifikacijom.</w:t>
      </w:r>
    </w:p>
    <w:p>
      <w:pPr>
        <w:pStyle w:val="BodyText"/>
      </w:pPr>
      <w:r>
        <w:t xml:space="preserve">Statički proračun se dostavlja u sklopu tehničkog rješenja i uslov je za počinjanje radova.</w:t>
      </w:r>
      <w:r>
        <w:t xml:space="preserve"> </w:t>
      </w:r>
      <w:r>
        <w:t xml:space="preserve">Prije početka izvođenja radova tehničko rješenje mora biti pregledano i odobreno.</w:t>
      </w:r>
    </w:p>
    <w:p>
      <w:pPr>
        <w:pStyle w:val="BodyText"/>
      </w:pPr>
      <w:r>
        <w:t xml:space="preserve">Proračun se radi prema standardima iz Tačke 2, najmanje:</w:t>
      </w:r>
    </w:p>
    <w:p>
      <w:pPr>
        <w:pStyle w:val="Compact"/>
        <w:numPr>
          <w:ilvl w:val="0"/>
          <w:numId w:val="1001"/>
        </w:numPr>
      </w:pPr>
      <w:r>
        <w:t xml:space="preserve">BAS EN 1990 — osnove proračuna, uključujući dokaz na podizanje i prevrtanje</w:t>
      </w:r>
    </w:p>
    <w:p>
      <w:pPr>
        <w:pStyle w:val="Compact"/>
        <w:numPr>
          <w:ilvl w:val="0"/>
          <w:numId w:val="1001"/>
        </w:numPr>
      </w:pPr>
      <w:r>
        <w:t xml:space="preserve">BAS EN 1991-1-4 sa BiH nacionalnim aneksom — vjetar, uključujući faktor orografije</w:t>
      </w:r>
    </w:p>
    <w:p>
      <w:pPr>
        <w:pStyle w:val="Compact"/>
        <w:numPr>
          <w:ilvl w:val="0"/>
          <w:numId w:val="1001"/>
        </w:numPr>
      </w:pPr>
      <w:r>
        <w:t xml:space="preserve">BAS EN 1991-1-3 sa BiH nacionalnim aneksom — snijeg; radijalni led prema ovjerenoj</w:t>
      </w:r>
      <w:r>
        <w:t xml:space="preserve"> </w:t>
      </w:r>
      <w:r>
        <w:t xml:space="preserve">projektnoj dokumentaciji lokacije</w:t>
      </w:r>
    </w:p>
    <w:p>
      <w:pPr>
        <w:pStyle w:val="Compact"/>
        <w:numPr>
          <w:ilvl w:val="0"/>
          <w:numId w:val="1001"/>
        </w:numPr>
      </w:pPr>
      <w:r>
        <w:t xml:space="preserve">BAS EN 1993-1-1 — dimenzionisanje čelične konstrukcije; izvedba prema BAS EN 1090-2 (EXC2)</w:t>
      </w:r>
    </w:p>
    <w:p>
      <w:pPr>
        <w:pStyle w:val="Compact"/>
        <w:numPr>
          <w:ilvl w:val="0"/>
          <w:numId w:val="1001"/>
        </w:numPr>
      </w:pPr>
      <w:r>
        <w:t xml:space="preserve">BAS EN 1992-1-1 i BAS EN 1997-1 — temelji i geotehnički uslovi, uz dubinu smrzavanja</w:t>
      </w:r>
    </w:p>
    <w:p>
      <w:pPr>
        <w:pStyle w:val="FirstParagraph"/>
      </w:pPr>
      <w:r>
        <w:t xml:space="preserve">Napomena: za ovakvu konstrukciju mjerodavne su provjere na podizanje (uplift) i</w:t>
      </w:r>
      <w:r>
        <w:t xml:space="preserve"> </w:t>
      </w:r>
      <w:r>
        <w:t xml:space="preserve">prevrtanje, a ne nosivost tla.</w:t>
      </w:r>
    </w:p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i dokazuju u njegovom tehničkom rješenju i statičkom proračunu (Tačka 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</w:t>
            </w:r>
            <w:r>
              <w:t xml:space="preserve"> </w:t>
            </w:r>
            <w:r>
              <w:rPr>
                <w:b/>
                <w:bCs/>
              </w:rPr>
              <w:t xml:space="preserve">min. 2 ankera po lokaciji</w:t>
            </w:r>
            <w:r>
              <w:t xml:space="preserve">, do 1,5 × projektne sile iz odobrenog tehničkog rješenja,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podizanje, koji</w:t>
      </w:r>
      <w:r>
        <w:t xml:space="preserve"> </w:t>
      </w:r>
      <w:r>
        <w:t xml:space="preserve">Ponuđač daje u svom statičkom proračunu.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2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2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2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2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2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2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snaga prema ISO 3046-1 za nadmorsku visinu lokacije (Sjednica 1076 m n.v., Hamzići 493 m n.v.) i temperaturu okoline do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Uzbuda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4.5), koji uključuje kontroler agregata prije starta pri niskoj temperaturi; pomoćna sredstva za hladni start prema proizvođaču; zimsko dizel gorivo prema EN 590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3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3"/>
        </w:numPr>
      </w:pPr>
      <w:r>
        <w:t xml:space="preserve">referentne dimenzije 1050 × 600 × 1310 mm, masa prazan cca 170 kg (pun ≈590 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opterećenja na primarne nosače podne konstrukcije</w:t>
      </w:r>
    </w:p>
    <w:p>
      <w:pPr>
        <w:pStyle w:val="Compact"/>
        <w:numPr>
          <w:ilvl w:val="0"/>
          <w:numId w:val="1003"/>
        </w:numPr>
      </w:pPr>
      <w:r>
        <w:t xml:space="preserve">ispod spremnika se izvodi</w:t>
      </w:r>
      <w:r>
        <w:t xml:space="preserve"> </w:t>
      </w:r>
      <w:r>
        <w:rPr>
          <w:b/>
          <w:bCs/>
        </w:rPr>
        <w:t xml:space="preserve">prihvatno korito (kada) 1150 × 640 mm, visina ruba</w:t>
      </w:r>
      <w:r>
        <w:rPr>
          <w:b/>
          <w:bCs/>
        </w:rPr>
        <w:t xml:space="preserve"> </w:t>
      </w:r>
      <w:r>
        <w:rPr>
          <w:b/>
          <w:bCs/>
        </w:rPr>
        <w:t xml:space="preserve">200 mm</w:t>
      </w:r>
      <w:r>
        <w:t xml:space="preserve">, za prihvat kapanja i prosipanja, sa vidljivim najnižim mjestom za kontrolu</w:t>
      </w:r>
      <w:r>
        <w:t xml:space="preserve"> </w:t>
      </w:r>
      <w:r>
        <w:t xml:space="preserve">i pražnjenje</w:t>
      </w:r>
    </w:p>
    <w:p>
      <w:pPr>
        <w:pStyle w:val="Compact"/>
        <w:numPr>
          <w:ilvl w:val="0"/>
          <w:numId w:val="1003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3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3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3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3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dovoda</w:t>
            </w:r>
          </w:p>
        </w:tc>
        <w:tc>
          <w:tcPr/>
          <w:p>
            <w:pPr>
              <w:pStyle w:val="Compact"/>
            </w:pPr>
            <w:r>
              <w:t xml:space="preserve">4p (3P+N) kompaktni prekidač 32 A sa podesivim magnetnim okidanjem; jednopolni uređaji na trofaznom dovodu</w:t>
            </w:r>
            <w:r>
              <w:t xml:space="preserve"> </w:t>
            </w:r>
            <w:r>
              <w:rPr>
                <w:b/>
                <w:bCs/>
              </w:rPr>
              <w:t xml:space="preserve">nisu prihvatljivi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50 A / 300 mA, S-tip (selektivna),</w:t>
            </w:r>
            <w:r>
              <w:t xml:space="preserve"> </w:t>
            </w:r>
            <w:r>
              <w:rPr>
                <w:b/>
                <w:bCs/>
              </w:rPr>
              <w:t xml:space="preserve">najmanje tip A</w:t>
            </w:r>
            <w:r>
              <w:t xml:space="preserve"> </w:t>
            </w:r>
            <w:r>
              <w:t xml:space="preserve">— tip AC nije prihvatljiv (prekidački ispravljači iza sklopke)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Dovod ispravljača</w:t>
            </w:r>
          </w:p>
        </w:tc>
        <w:tc>
          <w:tcPr/>
          <w:p>
            <w:pPr>
              <w:pStyle w:val="Compact"/>
            </w:pPr>
            <w:r>
              <w:t xml:space="preserve">3p C 20 A (projektna struja 14,4 A pri ograničenju 9,5 kW iz Tačke 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50 A, položaji 1 – agregat / 0 – isključeno / 2 – rezerva; sklopka 0-1 iza nje je</w:t>
            </w:r>
            <w:r>
              <w:t xml:space="preserve"> </w:t>
            </w:r>
            <w:r>
              <w:rPr>
                <w:b/>
                <w:bCs/>
              </w:rPr>
              <w:t xml:space="preserve">4p</w:t>
            </w:r>
            <w:r>
              <w:t xml:space="preserve"> </w:t>
            </w:r>
            <w:r>
              <w:t xml:space="preserve">(prekida i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4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ograničenje ulazne snage ispravljačkog sistema na maks. 9,5 kW dok agregat radi</w:t>
      </w:r>
      <w:r>
        <w:t xml:space="preserve">,</w:t>
      </w:r>
      <w:r>
        <w:t xml:space="preserve"> </w:t>
      </w:r>
      <w:r>
        <w:t xml:space="preserve">uz zadržavanje opterećenja agregata iznad 30 %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parametriranje SMU za minimalan rad agregata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5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5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</w:t>
      </w:r>
    </w:p>
    <w:p>
      <w:pPr>
        <w:pStyle w:val="Compact"/>
        <w:numPr>
          <w:ilvl w:val="1"/>
          <w:numId w:val="1005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5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4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4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6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6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6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6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6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6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6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7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7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7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2 ankera po lokaciji)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Derating snage agregata prema ISO 3046-1, od proizvođača, za nadmorsku visinu i projektnu temperaturu obje lokacije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min. 2 ankera po lokaciji, do 1,5 × projektne sile iz odobrenog tehničkog rješenja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8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8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8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8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2"/>
    <w:bookmarkEnd w:id="6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2026-09-16T03:42:26Z</dcterms:created>
  <dcterms:modified xsi:type="dcterms:W3CDTF">2026-09-16T03:42:26Z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