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  <Override PartName="/word/media/rId67.png" ContentType="image/png"/>
  <Override PartName="/word/media/rId64.png" ContentType="image/png"/>
  <Override PartName="/word/media/rId49.png" ContentType="image/png"/>
  <Override PartName="/word/media/rId70.png" ContentType="image/png"/>
  <Override PartName="/word/media/rId4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Cs/>
          <w:b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Cs/>
          <w:b/>
        </w:rPr>
        <w:t xml:space="preserve">svaki LOT obuhvata obje lokacije</w:t>
      </w:r>
    </w:p>
    <w:p>
      <w:pPr>
        <w:pStyle w:val="BodyText"/>
      </w:pPr>
      <w:r>
        <w:rPr>
          <w:bCs/>
          <w:b/>
        </w:rPr>
        <w:t xml:space="preserve">Verzija:</w:t>
      </w:r>
      <w:r>
        <w:t xml:space="preserve"> </w:t>
      </w:r>
      <w:r>
        <w:t xml:space="preserve">Rev 1 zajedničke TD, 11.09.2026. (za lokaciju Sjednica nastavak Rev 9)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Cs/>
          <w:b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Cs/>
          <w:b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(Obrazac za cijenu ponude, zaseban za</w:t>
      </w:r>
      <w:r>
        <w:t xml:space="preserve"> </w:t>
      </w:r>
      <w:r>
        <w:t xml:space="preserve">svaki LOT), (4) Prilog III (grafički prilozi).</w:t>
      </w:r>
    </w:p>
    <w:p>
      <w:pPr>
        <w:pStyle w:val="BodyText"/>
      </w:pPr>
      <w:r>
        <w:t xml:space="preserve">Prilog III sadrži i preuzete stranice ovjerenih projekata lokacija,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Cs/>
          <w:b/>
        </w:rPr>
        <w:t xml:space="preserve">mjerodavan raspored opreme i otvora u kontejneru je onaj sa crteža M-01</w:t>
      </w:r>
      <w:r>
        <w:rPr>
          <w:bCs/>
          <w:b/>
        </w:rPr>
        <w:t xml:space="preserve"> </w:t>
      </w:r>
      <w:r>
        <w:rPr>
          <w:bCs/>
          <w:b/>
        </w:rPr>
        <w:t xml:space="preserve">(Sjednica) i H-04 (Hamzići).</w:t>
      </w:r>
    </w:p>
    <w:p>
      <w:r>
        <w:pict>
          <v:rect style="width:0;height:1.5pt" o:hralign="center" o:hrstd="t" o:hr="t"/>
        </w:pict>
      </w:r>
    </w:p>
    <w:bookmarkStart w:id="21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Lokacija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Koordinate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1076 m n.v.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Kontejner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 × 2,30 m vanjski, zidni paneli 60 mm, bez opreme; ulazna vrata 900 × 2000 mm na JUGOISTOČNOM (JI) zidu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Cs/>
                <w:b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Uzemljenje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kompleks je zakrenut 45° (Google Maps, Naručilac 11.09.2026):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kompleks je zakrenut 45° (Google Maps, Naručilac 11.09.2026): vrata i kapija SZ, klima-uređaj Stulz i hladnjak agregata JI, FN polje JZ; ovjereni crtež iz 2017. je zakrenut ≈180°; orijentacija se potvrđuje obilaskom (H-01)</w:t>
            </w:r>
          </w:p>
        </w:tc>
      </w:tr>
    </w:tbl>
    <w:bookmarkStart w:id="20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409"/>
        <w:gridCol w:w="2409"/>
        <w:gridCol w:w="2409"/>
        <w:gridCol w:w="2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Uticaj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Vjetar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qp ≥ 1,20 kN/m²</w:t>
            </w:r>
            <w:r>
              <w:t xml:space="preserve"> </w:t>
            </w:r>
            <w:r>
              <w:t xml:space="preserve">(izvedeno iz ovjerenog projekta 0,69–0,96 kN/m²)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1991-1-4 + BiH NA —</w:t>
            </w:r>
            <w:r>
              <w:t xml:space="preserve"> </w:t>
            </w:r>
            <w:r>
              <w:rPr>
                <w:bCs/>
                <w:b/>
              </w:rPr>
              <w:t xml:space="preserve">mjerodavno dejstvo</w:t>
            </w:r>
            <w:r>
              <w:t xml:space="preserve">; jedna konstrukcija za obje lokacije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Snijeg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μ₁ = 0,4 pri 45°; ≈0,5 m opažene visine → ≈0,6 kN/m²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 = 2,10 kN/m² (projekat) → ≈0,84 kN/m² na ravni panela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 BAS EN 1991-1-3 + BiH NA; provjera obavezna, nije mjerodavna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radijalni 20 mm, gustina 500 kg/m³ (projekat stuba)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mjerodavan kao akrecija na profile i spojeve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 °C do +50 °C; projektni ambijent +40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1,06–1,12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krš; σdop = 150 kPa, bez podzemne vode (projekat)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Smrzavanje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Ponuđač navodi usvojenu dubinu u dnevniku/knjizi</w:t>
            </w:r>
          </w:p>
        </w:tc>
      </w:tr>
    </w:tbl>
    <w:bookmarkEnd w:id="20"/>
    <w:bookmarkEnd w:id="21"/>
    <w:bookmarkStart w:id="22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Dejstva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Geotehnika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Cs/>
          <w:b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22"/>
    <w:bookmarkStart w:id="30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Cs/>
          <w:b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23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Nagib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Azimut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7,84 m² po nosaču</w:t>
            </w:r>
          </w:p>
        </w:tc>
      </w:tr>
    </w:tbl>
    <w:bookmarkEnd w:id="23"/>
    <w:bookmarkStart w:id="24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Cs/>
          <w:b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Cs/>
          <w:b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 Huawei</w:t>
      </w:r>
      <w:r>
        <w:t xml:space="preserve"> </w:t>
      </w:r>
      <w:r>
        <w:t xml:space="preserve">nosača tipa A nije usklađen sa qp lokacija (deklarisano 0,52–0,87 kN/m² prema</w:t>
      </w:r>
      <w:r>
        <w:t xml:space="preserve"> </w:t>
      </w:r>
      <w:r>
        <w:t xml:space="preserve">zahtijevanih 1,20 kN/m²).</w:t>
      </w:r>
    </w:p>
    <w:p>
      <w:pPr>
        <w:pStyle w:val="BodyText"/>
      </w:pPr>
      <w:r>
        <w:rPr>
          <w:bCs/>
          <w:b/>
        </w:rPr>
        <w:t xml:space="preserve">Podatak lokaliteta</w:t>
      </w:r>
      <w:r>
        <w:t xml:space="preserve"> </w:t>
      </w:r>
      <w:r>
        <w:t xml:space="preserve">(obavezujuće, iz ovjerene projektne dokumentacije lokacije):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qp ≥ 1,20 kN/m² na obje lokacije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 ≥ 1,5 pri 45° prema EN 1991-1-4 §7.3, osim ako se proračunom dokaže drugačije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Mjerodavno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podizanje (uplift) i prevrtanje, a NE nosivost tla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Projektne sile po nosaču se ne zadaju.</w:t>
      </w:r>
      <w:r>
        <w:t xml:space="preserve"> </w:t>
      </w:r>
      <w:r>
        <w:t xml:space="preserve">One proizlaze iz koncepta konstrukcije koji</w:t>
      </w:r>
      <w:r>
        <w:t xml:space="preserve"> </w:t>
      </w:r>
      <w:r>
        <w:t xml:space="preserve">Ponuđač nudi i iskazuju se i dokazuju u njegovom tehničkom rješenju i statičkom proračunu</w:t>
      </w:r>
      <w:r>
        <w:t xml:space="preserve"> </w:t>
      </w:r>
      <w:r>
        <w:t xml:space="preserve">(Tačka 5, dokaz 2). Vrijednosti u tabeli ispod su</w:t>
      </w:r>
      <w:r>
        <w:t xml:space="preserve"> </w:t>
      </w:r>
      <w:r>
        <w:rPr>
          <w:bCs/>
          <w:b/>
        </w:rPr>
        <w:t xml:space="preserve">orijentacione</w:t>
      </w:r>
      <w:r>
        <w:t xml:space="preserve">, izvedene za referentnu</w:t>
      </w:r>
      <w:r>
        <w:t xml:space="preserve"> </w:t>
      </w:r>
      <w:r>
        <w:t xml:space="preserve">geometriju polja iz Tačke 3.1, i služe samo za procjenu reda veličine: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 (orijentaciono)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7,84 m² po nosaču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kN (GSN, γQ = 1,5 / γG,fav = 0,9; vlastita težina konstrukcije se zanemaruje)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 kN (GSN)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prevrtanja po nosaču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25,7 kNm (GSN)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Spreg po temeljnoj traci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 kN pri razmaku traka 1600 mm</w:t>
            </w:r>
          </w:p>
        </w:tc>
      </w:tr>
    </w:tbl>
    <w:bookmarkEnd w:id="24"/>
    <w:bookmarkStart w:id="25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Zavarivanje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 uputstvu proizvođača (45 N·m za Huawei)</w:t>
            </w:r>
          </w:p>
        </w:tc>
      </w:tr>
    </w:tbl>
    <w:bookmarkEnd w:id="25"/>
    <w:bookmarkStart w:id="26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Materijal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Projektne sile ankerisanja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proizlaze iz koncepta konstrukcije koji Ponuđač nudi i iskazuju se u tehničkom rješenju; mjerodavno opterećenje sidrenja je</w:t>
            </w:r>
            <w:r>
              <w:t xml:space="preserve"> </w:t>
            </w:r>
            <w:r>
              <w:rPr>
                <w:bCs/>
                <w:b/>
              </w:rPr>
              <w:t xml:space="preserve">sila po traci od momenta prevrtanja</w:t>
            </w:r>
            <w:r>
              <w:t xml:space="preserve"> </w:t>
            </w:r>
            <w:r>
              <w:t xml:space="preserve">(Tačka 3.2, orijentaciono)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Dokazivanje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</w:tbl>
    <w:bookmarkEnd w:id="26"/>
    <w:bookmarkStart w:id="27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Cs/>
                <w:b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Cs/>
                <w:b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Zapremina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Smještaj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podizanje:</w:t>
      </w:r>
      <w:r>
        <w:t xml:space="preserve"> </w:t>
      </w:r>
      <w:r>
        <w:rPr>
          <w:rStyle w:val="VerbatimChar"/>
        </w:rPr>
        <w:t xml:space="preserve">1,170 m³ × 24 kN/m³ × 0,9 = 25,3 kN</w:t>
      </w:r>
      <w:r>
        <w:t xml:space="preserve"> </w:t>
      </w:r>
      <w:r>
        <w:t xml:space="preserve">prema sprezi od 16,1 kN po traci. Traka manje</w:t>
      </w:r>
      <w:r>
        <w:t xml:space="preserve"> </w:t>
      </w:r>
      <w:r>
        <w:t xml:space="preserve">zapremine tu provjeru ne zatvara vlastitom težinom. Pošto traka ispunjava rov,</w:t>
      </w:r>
      <w:r>
        <w:t xml:space="preserve"> </w:t>
      </w:r>
      <w:r>
        <w:rPr>
          <w:bCs/>
          <w:b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27"/>
    <w:bookmarkStart w:id="28" w:name="uzemljenje-lot-1"/>
    <w:p>
      <w:pPr>
        <w:pStyle w:val="Heading3"/>
      </w:pPr>
      <w:r>
        <w:t xml:space="preserve">3.6 Uzemljenje (LOT 1)</w:t>
      </w:r>
    </w:p>
    <w:p>
      <w:pPr>
        <w:numPr>
          <w:ilvl w:val="0"/>
          <w:numId w:val="1001"/>
        </w:numPr>
        <w:pStyle w:val="Compact"/>
      </w:pPr>
      <w:r>
        <w:t xml:space="preserve">povezivanje</w:t>
      </w:r>
      <w:r>
        <w:t xml:space="preserve"> </w:t>
      </w:r>
      <w:r>
        <w:rPr>
          <w:bCs/>
          <w:b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numPr>
          <w:ilvl w:val="0"/>
          <w:numId w:val="1001"/>
        </w:numPr>
        <w:pStyle w:val="Compact"/>
      </w:pPr>
      <w:r>
        <w:t xml:space="preserve">vodič: bakarno uže ≥50 mm² prema EN 62305-3, Tabela 7, otporno na UV i ukopavanje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numPr>
          <w:ilvl w:val="0"/>
          <w:numId w:val="1001"/>
        </w:numPr>
        <w:pStyle w:val="Compact"/>
      </w:pPr>
      <w:r>
        <w:t xml:space="preserve">bimetalni (Cu/Fe-Zn) ukrsni komadi otporni na galvansku koroziju</w:t>
      </w:r>
    </w:p>
    <w:p>
      <w:pPr>
        <w:numPr>
          <w:ilvl w:val="0"/>
          <w:numId w:val="1001"/>
        </w:numPr>
        <w:pStyle w:val="Compact"/>
      </w:pPr>
      <w:r>
        <w:t xml:space="preserve">kontinuitet spojeva ≤0,1 Ω; ukupni otpor uzemljenja ≤10 Ω</w:t>
      </w:r>
    </w:p>
    <w:p>
      <w:pPr>
        <w:numPr>
          <w:ilvl w:val="0"/>
          <w:numId w:val="1001"/>
        </w:numPr>
        <w:pStyle w:val="Compact"/>
      </w:pPr>
      <w:r>
        <w:t xml:space="preserve">DC kablovi na razmaku ≥0,5 m od odvoda gromobranske instalacije</w:t>
      </w:r>
    </w:p>
    <w:p>
      <w:pPr>
        <w:numPr>
          <w:ilvl w:val="0"/>
          <w:numId w:val="1001"/>
        </w:numPr>
        <w:pStyle w:val="Compact"/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28"/>
    <w:bookmarkStart w:id="29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Kota ograde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Prepreke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60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37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Izvedba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Dimenzije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Sjednica: 1076 m n.v., Hamzići: 493 m n.v., temperatura okoline do +40 °C (ISO 3046-1); Ponuđač dostavlja derating proizvođača za obje lokacije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Uzbuda (OBAVEZNO)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nezavisna pobuda —</w:t>
            </w:r>
            <w:r>
              <w:t xml:space="preserve"> </w:t>
            </w:r>
            <w:r>
              <w:rPr>
                <w:bCs/>
                <w:b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Cs/>
                <w:b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Cs/>
                <w:b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Cs/>
                <w:b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Cs/>
                <w:b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predgrijač rashladne tečnosti na DC, napojen iz DC razvoda −48 V (Tačka 4.5); uključuje ga kontroler agregata samo za kratko predgrijavanje prije starta pri niskoj temperaturi; uz to pomoćna sredstva za hladni start prema proizvođaču i zimsko dizel gorivo prema EN 590. Grijač prostora se ne predviđa — agregat je jedini izvor izmjeničnog napona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32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35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37"/>
    <w:bookmarkStart w:id="44" w:name="spremnik-goriva-i-oslanjanje-opreme"/>
    <w:p>
      <w:pPr>
        <w:pStyle w:val="Heading3"/>
      </w:pPr>
      <w:r>
        <w:t xml:space="preserve">4.2 Spremnik goriva i oslanjanje opreme</w:t>
      </w:r>
    </w:p>
    <w:p>
      <w:pPr>
        <w:numPr>
          <w:ilvl w:val="0"/>
          <w:numId w:val="1002"/>
        </w:numPr>
        <w:pStyle w:val="Compact"/>
      </w:pPr>
      <w:r>
        <w:t xml:space="preserve">metalni,</w:t>
      </w:r>
      <w:r>
        <w:t xml:space="preserve"> </w:t>
      </w:r>
      <w:r>
        <w:rPr>
          <w:bCs/>
          <w:b/>
        </w:rPr>
        <w:t xml:space="preserve">dvoplašni</w:t>
      </w:r>
      <w:r>
        <w:t xml:space="preserve">, zapremine</w:t>
      </w:r>
      <w:r>
        <w:t xml:space="preserve"> </w:t>
      </w:r>
      <w:r>
        <w:rPr>
          <w:bCs/>
          <w:b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numPr>
          <w:ilvl w:val="0"/>
          <w:numId w:val="1002"/>
        </w:numPr>
        <w:pStyle w:val="Compact"/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Cs/>
          <w:b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Cs/>
          <w:b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numPr>
          <w:ilvl w:val="0"/>
          <w:numId w:val="1002"/>
        </w:numPr>
        <w:pStyle w:val="Compact"/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numPr>
          <w:ilvl w:val="0"/>
          <w:numId w:val="1002"/>
        </w:numPr>
        <w:pStyle w:val="Compact"/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numPr>
          <w:ilvl w:val="0"/>
          <w:numId w:val="1002"/>
        </w:numPr>
        <w:pStyle w:val="Compact"/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numPr>
          <w:ilvl w:val="0"/>
          <w:numId w:val="1002"/>
        </w:numPr>
        <w:pStyle w:val="Compact"/>
      </w:pPr>
      <w:r>
        <w:t xml:space="preserve">napajanje motora gorivom Cu cijevima NO 8 mm (polazni i povratni vod), sa</w:t>
      </w:r>
      <w:r>
        <w:t xml:space="preserve"> </w:t>
      </w:r>
      <w:r>
        <w:rPr>
          <w:bCs/>
          <w:b/>
        </w:rPr>
        <w:t xml:space="preserve">fleksibilnim umetkom na oba voda neposredno uz motor</w:t>
      </w:r>
    </w:p>
    <w:p>
      <w:pPr>
        <w:numPr>
          <w:ilvl w:val="0"/>
          <w:numId w:val="1002"/>
        </w:numPr>
        <w:pStyle w:val="Compact"/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39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42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44"/>
    <w:bookmarkStart w:id="53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Cs/>
          <w:b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Toplota u prostor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 m³/h, Ø315,</w:t>
            </w:r>
            <w:r>
              <w:t xml:space="preserve"> </w:t>
            </w:r>
            <w:r>
              <w:rPr>
                <w:bCs/>
                <w:b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Provjera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Cs/>
          <w:b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48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Cs/>
                <w:b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Izduv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</w:t>
            </w:r>
            <w:r>
              <w:t xml:space="preserve"> </w:t>
            </w:r>
            <w:r>
              <w:rPr>
                <w:bCs/>
                <w:b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Cs/>
          <w:b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46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48"/>
    <w:bookmarkStart w:id="52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Cs/>
          <w:b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Cs/>
                <w:b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Cs/>
                <w:b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Izduv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 JZ prolaza kroz</w:t>
            </w:r>
            <w:r>
              <w:t xml:space="preserve"> </w:t>
            </w:r>
            <w:r>
              <w:rPr>
                <w:bCs/>
                <w:b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duža osa</w:t>
            </w:r>
            <w:r>
              <w:t xml:space="preserve"> </w:t>
            </w:r>
            <w:r>
              <w:rPr>
                <w:bCs/>
                <w:b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  <w:r>
              <w:t xml:space="preserve"> </w:t>
            </w:r>
            <w:r>
              <w:rPr>
                <w:bCs/>
                <w:b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principijelno kroz</w:t>
            </w:r>
            <w:r>
              <w:t xml:space="preserve"> </w:t>
            </w:r>
            <w:r>
              <w:rPr>
                <w:bCs/>
                <w:b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Cs/>
                <w:b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Cs/>
                <w:b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Cs/>
          <w:b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50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52"/>
    <w:bookmarkEnd w:id="53"/>
    <w:bookmarkStart w:id="54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Dijametar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industrijski;</w:t>
            </w:r>
            <w:r>
              <w:t xml:space="preserve"> </w:t>
            </w:r>
            <w:r>
              <w:rPr>
                <w:bCs/>
                <w:b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Izolacija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Provjera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Cs/>
                <w:b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Cs/>
                <w:b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Završetak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Izolacija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≈3,0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≈2,5 m²</w:t>
            </w:r>
          </w:p>
        </w:tc>
      </w:tr>
    </w:tbl>
    <w:bookmarkEnd w:id="54"/>
    <w:bookmarkStart w:id="55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Cs/>
          <w:b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Cs/>
                <w:b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Cs/>
                <w:b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Struja kvara (PMG/AREP)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 kablovi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kablovi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snimiti stanje i prevezati postojeće krugove u novi GRO; signalna rasvjeta antenskog stuba (K7) prelazi na DC razvod −48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kontejner je</w:t>
            </w:r>
            <w:r>
              <w:t xml:space="preserve"> </w:t>
            </w:r>
            <w:r>
              <w:rPr>
                <w:bCs/>
                <w:b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svjetiljka za obilježavanje stuba prelazi na DC razvod −48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Cs/>
                <w:b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Cs/>
          <w:b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Svjetiljka za obilježavanje antenskog stuba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Ukupna trajna potrošnja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55"/>
    <w:bookmarkStart w:id="56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numPr>
          <w:ilvl w:val="0"/>
          <w:numId w:val="1003"/>
        </w:numPr>
        <w:pStyle w:val="Compact"/>
      </w:pPr>
      <w:r>
        <w:t xml:space="preserve">start agregata prema</w:t>
      </w:r>
      <w:r>
        <w:t xml:space="preserve"> </w:t>
      </w:r>
      <w:r>
        <w:rPr>
          <w:bCs/>
          <w:b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je 11,6 kW na Sjednici i 12,3 kW na Hamzićima, a</w:t>
      </w:r>
      <w:r>
        <w:t xml:space="preserve"> </w:t>
      </w:r>
      <w:r>
        <w:t xml:space="preserve">neograničen ispravljački sistem vuče ≈12,5 kW. Granica ujedno drži agregat iznad 30 %</w:t>
      </w:r>
      <w:r>
        <w:t xml:space="preserve"> </w:t>
      </w:r>
      <w:r>
        <w:t xml:space="preserve">opterećenja i sprječava mokri rad motora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numPr>
          <w:ilvl w:val="1"/>
          <w:numId w:val="1004"/>
        </w:numPr>
        <w:pStyle w:val="Compact"/>
      </w:pPr>
      <w:r>
        <w:t xml:space="preserve">start agregata pri dubini pražnjenja baterija</w:t>
      </w:r>
      <w:r>
        <w:t xml:space="preserve"> </w:t>
      </w:r>
      <w:r>
        <w:rPr>
          <w:bCs/>
          <w:b/>
        </w:rPr>
        <w:t xml:space="preserve">DOD 85 %</w:t>
      </w:r>
      <w:r>
        <w:t xml:space="preserve"> </w:t>
      </w:r>
      <w:r>
        <w:t xml:space="preserve">(SoC 15 %)</w:t>
      </w:r>
    </w:p>
    <w:p>
      <w:pPr>
        <w:numPr>
          <w:ilvl w:val="1"/>
          <w:numId w:val="1004"/>
        </w:numPr>
        <w:pStyle w:val="Compact"/>
      </w:pPr>
      <w:r>
        <w:t xml:space="preserve">zaustavljanje agregata pri</w:t>
      </w:r>
      <w:r>
        <w:t xml:space="preserve"> </w:t>
      </w:r>
      <w:r>
        <w:rPr>
          <w:bCs/>
          <w:b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10–16 %</w:t>
      </w:r>
    </w:p>
    <w:p>
      <w:pPr>
        <w:numPr>
          <w:ilvl w:val="1"/>
          <w:numId w:val="1004"/>
        </w:numPr>
        <w:pStyle w:val="Compact"/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numPr>
          <w:ilvl w:val="1"/>
          <w:numId w:val="1004"/>
        </w:numPr>
        <w:pStyle w:val="Compact"/>
      </w:pPr>
      <w:r>
        <w:t xml:space="preserve">najkraće vrijeme rada agregata po startu</w:t>
      </w:r>
      <w:r>
        <w:t xml:space="preserve"> </w:t>
      </w:r>
      <w:r>
        <w:rPr>
          <w:bCs/>
          <w:b/>
        </w:rPr>
        <w:t xml:space="preserve">1 h</w:t>
      </w:r>
    </w:p>
    <w:p>
      <w:pPr>
        <w:numPr>
          <w:ilvl w:val="0"/>
          <w:numId w:val="1003"/>
        </w:numPr>
        <w:pStyle w:val="Compact"/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numPr>
          <w:ilvl w:val="0"/>
          <w:numId w:val="1003"/>
        </w:numPr>
        <w:pStyle w:val="Compact"/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56"/>
    <w:bookmarkStart w:id="57" w:name="zaštita-od-požara"/>
    <w:p>
      <w:pPr>
        <w:pStyle w:val="Heading3"/>
      </w:pPr>
      <w:r>
        <w:t xml:space="preserve">4.7 Zaštita od požara</w:t>
      </w:r>
    </w:p>
    <w:p>
      <w:pPr>
        <w:numPr>
          <w:ilvl w:val="0"/>
          <w:numId w:val="1005"/>
        </w:numPr>
        <w:pStyle w:val="Compact"/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numPr>
          <w:ilvl w:val="0"/>
          <w:numId w:val="1005"/>
        </w:numPr>
        <w:pStyle w:val="Compact"/>
      </w:pPr>
      <w:r>
        <w:t xml:space="preserve">detekcija: dimni i termički detektori; detekcija CO i NO₂</w:t>
      </w:r>
    </w:p>
    <w:p>
      <w:pPr>
        <w:numPr>
          <w:ilvl w:val="0"/>
          <w:numId w:val="1005"/>
        </w:numPr>
        <w:pStyle w:val="Compact"/>
      </w:pPr>
      <w:r>
        <w:t xml:space="preserve">automatsko gašenje sredstvom za klasu B, sa</w:t>
      </w:r>
      <w:r>
        <w:t xml:space="preserve"> </w:t>
      </w:r>
      <w:r>
        <w:rPr>
          <w:bCs/>
          <w:b/>
        </w:rPr>
        <w:t xml:space="preserve">blokadom ventilacije pri aktivaciji</w:t>
      </w:r>
    </w:p>
    <w:p>
      <w:pPr>
        <w:numPr>
          <w:ilvl w:val="0"/>
          <w:numId w:val="1005"/>
        </w:numPr>
        <w:pStyle w:val="Compact"/>
      </w:pPr>
      <w:r>
        <w:t xml:space="preserve">protupožarni ventil na izlazu iz spremnika</w:t>
      </w:r>
    </w:p>
    <w:p>
      <w:pPr>
        <w:numPr>
          <w:ilvl w:val="0"/>
          <w:numId w:val="1005"/>
        </w:numPr>
        <w:pStyle w:val="Compact"/>
      </w:pPr>
      <w:r>
        <w:t xml:space="preserve">E-STOP izvan kontejnera pored ulaznih vrata, prema ISO 13850 kategorija 0</w:t>
      </w:r>
    </w:p>
    <w:p>
      <w:pPr>
        <w:numPr>
          <w:ilvl w:val="0"/>
          <w:numId w:val="1005"/>
        </w:numPr>
        <w:pStyle w:val="Compact"/>
      </w:pPr>
      <w:r>
        <w:t xml:space="preserve">oznake opasnosti, zabrana pušenja, oznaka kapaciteta goriva</w:t>
      </w:r>
    </w:p>
    <w:p>
      <w:pPr>
        <w:numPr>
          <w:ilvl w:val="0"/>
          <w:numId w:val="1005"/>
        </w:numPr>
        <w:pStyle w:val="Compact"/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Cs/>
          <w:b/>
        </w:rPr>
        <w:t xml:space="preserve">zasebno su iskazani u Prilogu II</w:t>
      </w:r>
      <w:r>
        <w:t xml:space="preserve">.</w:t>
      </w:r>
    </w:p>
    <w:bookmarkEnd w:id="57"/>
    <w:bookmarkStart w:id="58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numPr>
          <w:ilvl w:val="0"/>
          <w:numId w:val="1006"/>
        </w:numPr>
        <w:pStyle w:val="Compact"/>
      </w:pPr>
      <w:r>
        <w:t xml:space="preserve">postojeći kompaktni zidni klima-uređaj</w:t>
      </w:r>
      <w:r>
        <w:t xml:space="preserve"> </w:t>
      </w:r>
      <w:r>
        <w:rPr>
          <w:bCs/>
          <w:b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Cs/>
          <w:b/>
        </w:rPr>
        <w:t xml:space="preserve">bez otvaranja rashladnog kruga</w:t>
      </w:r>
    </w:p>
    <w:p>
      <w:pPr>
        <w:numPr>
          <w:ilvl w:val="0"/>
          <w:numId w:val="1006"/>
        </w:numPr>
        <w:pStyle w:val="Compact"/>
      </w:pPr>
      <w:r>
        <w:t xml:space="preserve">uređaj se pakuje za transport, utovara i prevozi u skladište</w:t>
      </w:r>
      <w:r>
        <w:t xml:space="preserve"> </w:t>
      </w:r>
      <w:r>
        <w:rPr>
          <w:bCs/>
          <w:b/>
        </w:rPr>
        <w:t xml:space="preserve">BH Telecom d.d.,</w:t>
      </w:r>
      <w:r>
        <w:rPr>
          <w:bCs/>
          <w:b/>
        </w:rPr>
        <w:t xml:space="preserve"> </w:t>
      </w:r>
      <w:r>
        <w:rPr>
          <w:bCs/>
          <w:b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Cs/>
          <w:b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numPr>
          <w:ilvl w:val="0"/>
          <w:numId w:val="1006"/>
        </w:numPr>
        <w:pStyle w:val="Compact"/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58"/>
    <w:bookmarkStart w:id="59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Cs/>
                <w:b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Obuhvat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Vozilo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Rukovanje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Cs/>
                <w:b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Odgovornost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Cs/>
          <w:b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Cs/>
          <w:b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Cs/>
          <w:b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Cs/>
          <w:b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Cs/>
          <w:b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Cs/>
          <w:b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Cs/>
          <w:b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Cs/>
          <w:b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Cs/>
          <w:b/>
        </w:rPr>
        <w:t xml:space="preserve">za svaku</w:t>
      </w:r>
      <w:r>
        <w:rPr>
          <w:bCs/>
          <w:b/>
        </w:rPr>
        <w:t xml:space="preserve"> </w:t>
      </w:r>
      <w:r>
        <w:rPr>
          <w:bCs/>
          <w:b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674"/>
        <w:gridCol w:w="6071"/>
        <w:gridCol w:w="963"/>
        <w:gridCol w:w="19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Zapisnik o ispitivanju ankera na čupanje (min. 10 %), po lokaciji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REALIZACIJA</w:t>
            </w:r>
          </w:p>
        </w:tc>
      </w:tr>
    </w:tbl>
    <w:bookmarkEnd w:id="61"/>
    <w:bookmarkStart w:id="62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Cs/>
          <w:b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276"/>
        <w:gridCol w:w="63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Ispitivanje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Probni 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 radu agregata na nazivnom opterećenju</w:t>
            </w:r>
          </w:p>
        </w:tc>
      </w:tr>
    </w:tbl>
    <w:bookmarkEnd w:id="62"/>
    <w:bookmarkStart w:id="63" w:name="garancija"/>
    <w:p>
      <w:pPr>
        <w:pStyle w:val="Heading2"/>
      </w:pPr>
      <w:r>
        <w:t xml:space="preserve">7. Garancija</w:t>
      </w:r>
    </w:p>
    <w:p>
      <w:pPr>
        <w:numPr>
          <w:ilvl w:val="0"/>
          <w:numId w:val="1007"/>
        </w:numPr>
        <w:pStyle w:val="Compact"/>
      </w:pPr>
      <w:r>
        <w:t xml:space="preserve">garantni period minimalno</w:t>
      </w:r>
      <w:r>
        <w:t xml:space="preserve"> </w:t>
      </w:r>
      <w:r>
        <w:rPr>
          <w:bCs/>
          <w:b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numPr>
          <w:ilvl w:val="0"/>
          <w:numId w:val="1007"/>
        </w:numPr>
        <w:pStyle w:val="Compact"/>
      </w:pPr>
      <w:r>
        <w:t xml:space="preserve">postgarantni period minimalno</w:t>
      </w:r>
      <w:r>
        <w:t xml:space="preserve"> </w:t>
      </w:r>
      <w:r>
        <w:rPr>
          <w:bCs/>
          <w:b/>
        </w:rPr>
        <w:t xml:space="preserve">5 godina</w:t>
      </w:r>
    </w:p>
    <w:p>
      <w:pPr>
        <w:numPr>
          <w:ilvl w:val="0"/>
          <w:numId w:val="1007"/>
        </w:numPr>
        <w:pStyle w:val="Compact"/>
      </w:pPr>
      <w:r>
        <w:t xml:space="preserve">spisak preporučenih rezervnih dijelova za 500 h rada agregata, za svaku lokaciju</w:t>
      </w:r>
    </w:p>
    <w:p>
      <w:pPr>
        <w:numPr>
          <w:ilvl w:val="0"/>
          <w:numId w:val="1007"/>
        </w:numPr>
        <w:pStyle w:val="Compact"/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63"/>
    <w:bookmarkStart w:id="73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Cs/>
          <w:b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Cs/>
          <w:b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05"/>
        <w:gridCol w:w="2891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Pokazatelj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Sjednica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Potrošnja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 agregata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Potrošnja goriva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65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68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71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73"/>
    <w:bookmarkEnd w:id="74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67" Target="media/rId67.png" /><Relationship Type="http://schemas.openxmlformats.org/officeDocument/2006/relationships/image" Id="rId64" Target="media/rId64.png" /><Relationship Type="http://schemas.openxmlformats.org/officeDocument/2006/relationships/image" Id="rId49" Target="media/rId49.png" /><Relationship Type="http://schemas.openxmlformats.org/officeDocument/2006/relationships/image" Id="rId70" Target="media/rId70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2026-09-14T06:59:35Z</dcterms:created>
  <dcterms:modified xsi:type="dcterms:W3CDTF">2026-09-14T06:59:35Z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