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4.png" ContentType="image/png"/>
  <Override PartName="/word/media/rId66.png" ContentType="image/png"/>
  <Override PartName="/word/media/rId63.png" ContentType="image/png"/>
  <Override PartName="/word/media/rId49.png" ContentType="image/png"/>
  <Override PartName="/word/media/rId69.png" ContentType="image/png"/>
  <Override PartName="/word/media/rId45.png" ContentType="image/png"/>
  <Override PartName="/word/media/rId3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prilog-i-td-specifikacija-zahtjeva"/>
    <w:p>
      <w:pPr>
        <w:pStyle w:val="Heading1"/>
      </w:pPr>
      <w:r>
        <w:t xml:space="preserve">PRILOG I TD — SPECIFIKACIJA ZAHTJEVA</w:t>
      </w:r>
    </w:p>
    <w:p>
      <w:pPr>
        <w:pStyle w:val="FirstParagraph"/>
      </w:pPr>
      <w:r>
        <w:rPr>
          <w:bCs/>
          <w:b/>
        </w:rPr>
        <w:t xml:space="preserve">Autonomni hibridni sistem napajanja — SJEDNICA (Bileća) i HAMZIĆI (Čitluk)</w:t>
      </w:r>
      <w:r>
        <w:t xml:space="preserve"> </w:t>
      </w:r>
      <w:r>
        <w:t xml:space="preserve">LOT 1: nosači fotonaponskih panela · LOT 2: dizel električni agregat u kontejneru —</w:t>
      </w:r>
      <w:r>
        <w:t xml:space="preserve"> </w:t>
      </w:r>
      <w:r>
        <w:rPr>
          <w:bCs/>
          <w:b/>
        </w:rPr>
        <w:t xml:space="preserve">svaki LOT obuhvata obje lokacije</w:t>
      </w:r>
    </w:p>
    <w:p>
      <w:pPr>
        <w:pStyle w:val="BodyText"/>
      </w:pPr>
      <w:r>
        <w:rPr>
          <w:bCs/>
          <w:b/>
        </w:rPr>
        <w:t xml:space="preserve">Verzija:</w:t>
      </w:r>
      <w:r>
        <w:t xml:space="preserve"> </w:t>
      </w:r>
      <w:r>
        <w:t xml:space="preserve">Rev 1 zajedničke TD, 11.09.2026. (za lokaciju Sjednica nastavak Rev 9)</w:t>
      </w:r>
    </w:p>
    <w:p>
      <w:pPr>
        <w:pStyle w:val="BodyText"/>
      </w:pPr>
      <w:r>
        <w:t xml:space="preserve">Ovaj Prilog utvrđuje tehničke zahtjeve i dokaze koje Ponuđač dostavlja</w:t>
      </w:r>
      <w:r>
        <w:t xml:space="preserve"> </w:t>
      </w:r>
      <w:r>
        <w:rPr>
          <w:bCs/>
          <w:b/>
        </w:rPr>
        <w:t xml:space="preserve">UZ PONUDU</w:t>
      </w:r>
      <w:r>
        <w:t xml:space="preserve"> </w:t>
      </w:r>
      <w:r>
        <w:t xml:space="preserve">kao uslov kvalifikacije — ponuda koja ih ne sadrži smatra se neprihvatljivom.</w:t>
      </w:r>
    </w:p>
    <w:p>
      <w:pPr>
        <w:pStyle w:val="BodyText"/>
      </w:pPr>
      <w:r>
        <w:t xml:space="preserve">Na obje lokacije se ugrađuje</w:t>
      </w:r>
      <w:r>
        <w:t xml:space="preserve"> </w:t>
      </w:r>
      <w:r>
        <w:rPr>
          <w:bCs/>
          <w:b/>
        </w:rPr>
        <w:t xml:space="preserve">isti sistem</w:t>
      </w:r>
      <w:r>
        <w:t xml:space="preserve">: 12 fotonaponskih modula na 4 nosača, isti</w:t>
      </w:r>
      <w:r>
        <w:t xml:space="preserve"> </w:t>
      </w:r>
      <w:r>
        <w:t xml:space="preserve">agregat sa spremnikom goriva u postojećem kontejneru i isto upravljanje. Zahtjevi koji</w:t>
      </w:r>
      <w:r>
        <w:t xml:space="preserve"> </w:t>
      </w:r>
      <w:r>
        <w:t xml:space="preserve">se razlikuju po lokaciji dati su u zasebnim tačkama ili kolonama, sa oznakom lokacije.</w:t>
      </w:r>
    </w:p>
    <w:p>
      <w:pPr>
        <w:pStyle w:val="BodyText"/>
      </w:pPr>
      <w:r>
        <w:t xml:space="preserve">U slučaju neslaganja između dokumenata TD mjerodavni su redom: (1) Tenderska</w:t>
      </w:r>
      <w:r>
        <w:t xml:space="preserve"> </w:t>
      </w:r>
      <w:r>
        <w:t xml:space="preserve">dokumentacija (TD), (2) Prilog I, (3) Prilog II (Obrazac za cijenu ponude, zaseban za</w:t>
      </w:r>
      <w:r>
        <w:t xml:space="preserve"> </w:t>
      </w:r>
      <w:r>
        <w:t xml:space="preserve">svaki LOT), (4) Prilog III (grafički prilozi).</w:t>
      </w:r>
    </w:p>
    <w:p>
      <w:pPr>
        <w:pStyle w:val="BodyText"/>
      </w:pPr>
      <w:r>
        <w:t xml:space="preserve">Prilog III sadrži i preuzete stranice ovjerenih projekata lokacija, koje služe samo kao</w:t>
      </w:r>
      <w:r>
        <w:t xml:space="preserve"> </w:t>
      </w:r>
      <w:r>
        <w:t xml:space="preserve">podloga;</w:t>
      </w:r>
      <w:r>
        <w:t xml:space="preserve"> </w:t>
      </w:r>
      <w:r>
        <w:rPr>
          <w:bCs/>
          <w:b/>
        </w:rPr>
        <w:t xml:space="preserve">mjerodavan raspored opreme i otvora u kontejneru je onaj sa crteža M-01</w:t>
      </w:r>
      <w:r>
        <w:rPr>
          <w:bCs/>
          <w:b/>
        </w:rPr>
        <w:t xml:space="preserve"> </w:t>
      </w:r>
      <w:r>
        <w:rPr>
          <w:bCs/>
          <w:b/>
        </w:rPr>
        <w:t xml:space="preserve">(Sjednica) i H-04 (Hamzići).</w:t>
      </w:r>
    </w:p>
    <w:p>
      <w:r>
        <w:pict>
          <v:rect style="width:0;height:1.5pt" o:hralign="center" o:hrstd="t" o:hr="t"/>
        </w:pict>
      </w:r>
    </w:p>
    <w:bookmarkStart w:id="21" w:name="osnovni-parametri-lokaliteta"/>
    <w:p>
      <w:pPr>
        <w:pStyle w:val="Heading2"/>
      </w:pPr>
      <w:r>
        <w:t xml:space="preserve">1. Osnovni parametri lokaliteta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505"/>
        <w:gridCol w:w="2891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Sjednica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Lokacija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Sjednica, Bileća, BiH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Hamzići, Čitluk, BiH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Koordinate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42,9448° N · 18,3236° 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43,2880° N · 17,6248° 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Nadmorska visina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1076 m n.v.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493 m n.v.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Priključak EES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</w:t>
            </w:r>
            <w:r>
              <w:t xml:space="preserve"> </w:t>
            </w:r>
            <w:r>
              <w:t xml:space="preserve">(projektovan 2017., nije izveden)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Bilans potrošnje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konstantno, 1180 W nazivno / 1330 W maksimalno, −48 V 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isto kao Sjednica — privremeno, do izmjerene potrošnje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Zakupljeni prostor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≈150 m² (16,00 × 9,40 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m² (12,00 × 12,50 m), k.č. 109/1 K.O. Hamzići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Postojeći objekat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 ploča 5,40 × 5,40 m, ograda h = 2,10 m, kapija 1,00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 ploča 5,40 × 5,40 m, ograda h = 1,80 m, kapija 1,30 m na SZ strani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Antenski stub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rešetkasti, h = 38 m, baza 4,20 × 4,20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rešetkasti, h = 32 m, baza 3,70 × 3,70 m; platforma na +3,0 m iznad krova kontejnera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Kontejner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 × 2,30 m vanjski, zidni paneli 60 mm, bez opreme; ulazna vrata 900 × 2000 mm na JUGOISTOČNOM (JI) zidu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K2 3,00 × 2,30 m vanjski, zidni paneli 60 mm,</w:t>
            </w:r>
            <w:r>
              <w:t xml:space="preserve"> </w:t>
            </w:r>
            <w:r>
              <w:rPr>
                <w:bCs/>
                <w:b/>
              </w:rPr>
              <w:t xml:space="preserve">prazan, bez GRO i instalacija</w:t>
            </w:r>
            <w:r>
              <w:t xml:space="preserve">; ulazna vrata 1,00 × 2,15 m na SJEVEROZAPADNOM (SZ) zidu; na JUGOISTOČNOM (JI) zidu, u sredini, klima-uređaj Stulz WDE80 koji se demontira (Tačka 4.8)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Nosivost poda kontejnera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 kN/m² ukupno (g+p), ravnomjerno raspodijeljeno — ovjereni projekat lokacije, „04 AG dio”, tačka 4.4.2.3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 kN/m² ukupno (g+p) — ovjereni projekat lokacije, AG dio, tačka 4.4.2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 napajanja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Huawei ICC360-HA1-C1 (PowerCube 1000) i MTS9302A, vanjski ormari smješteni uz SJEVEROISTOČNI (SI) zid kontejnera, u sjeni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Huawei ICC360-HA1-C1 (PowerCube 1000) i MTS — zasebna nabavka Naručioca, kao na Sjednici; vanjski ormari na ploči sa JZ strane, iza FN polja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Uzemljenje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postojeći prstenasti uzemljivač Fe/Zn 25 × 4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postojeći uzemljivač Fe/Zn 25 × 4 mm: prsten u temeljima stopa stuba i prsten na dubini 0,8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Orijentacija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kompleks je zakrenut 45° (Google Maps, Naručilac 11.09.2026): vrata JI, hladnjak agregata SZ, FN polje JZ, vanjski ormari SI; crteži su pravougaoni na kompleks, strelica pokazuje pravi sjever (S-01)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kompleks je zakrenut 45° (Google Maps, Naručilac 11.09.2026): vrata i kapija SZ, klima-uređaj Stulz i hladnjak agregata JI, FN polje JZ; ovjereni crtež iz 2017. je zakrenut ≈180°; orijentacija se potvrđuje obilaskom (H-01)</w:t>
            </w:r>
          </w:p>
        </w:tc>
      </w:tr>
    </w:tbl>
    <w:bookmarkStart w:id="20" w:name="klimatski-i-geotehnički-uslovi"/>
    <w:p>
      <w:pPr>
        <w:pStyle w:val="Heading3"/>
      </w:pPr>
      <w:r>
        <w:t xml:space="preserve">1.1 Klimatski i geotehnički uslovi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409"/>
        <w:gridCol w:w="2409"/>
        <w:gridCol w:w="2409"/>
        <w:gridCol w:w="24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Uticaj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Sjednica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Hamzići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Napomena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Vjetar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qp ≥ 1,20 kN/m²</w:t>
            </w:r>
            <w:r>
              <w:t xml:space="preserve"> </w:t>
            </w:r>
            <w:r>
              <w:t xml:space="preserve">(udar 3 s ≈ 45 m/s)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qp ≥ 1,20 kN/m²</w:t>
            </w:r>
            <w:r>
              <w:t xml:space="preserve"> </w:t>
            </w:r>
            <w:r>
              <w:t xml:space="preserve">(izvedeno iz ovjerenog projekta 0,69–0,96 kN/m²)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 EN 1991-1-4 + BiH NA —</w:t>
            </w:r>
            <w:r>
              <w:t xml:space="preserve"> </w:t>
            </w:r>
            <w:r>
              <w:rPr>
                <w:bCs/>
                <w:b/>
              </w:rPr>
              <w:t xml:space="preserve">mjerodavno dejstvo</w:t>
            </w:r>
            <w:r>
              <w:t xml:space="preserve">; jedna konstrukcija za obje lokacije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Snijeg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μ₁ = 0,4 pri 45°; ≈0,5 m opažene visine → ≈0,6 kN/m²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 = 2,10 kN/m² (projekat) → ≈0,84 kN/m² na ravni panela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 BAS EN 1991-1-3 + BiH NA; provjera obavezna, nije mjerodavna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radijalni 20 mm, gustina 300 kg/m³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radijalni 20 mm, gustina 500 kg/m³ (projekat stuba)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mjerodavan kao akrecija na profile i spojeve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−25 °C do +50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−25 °C do +50 °C; projektni ambijent +40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radni opseg opreme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Gustina zraka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1,04–1,09 kg/m³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1,06–1,12 kg/m³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derating agregata i dimenzionisanje ventilacije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kamenito (krš); nosivost ≥100 kPa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krš; σdop = 150 kPa, bez podzemne vode (projekat)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Ponuđač potvrđuje geomehaničkim uvidom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Smrzavanje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temeljna spojnica ispod dubine smrzavanja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Ponuđač navodi usvojenu dubinu u dnevniku/knjizi</w:t>
            </w:r>
          </w:p>
        </w:tc>
      </w:tr>
    </w:tbl>
    <w:bookmarkEnd w:id="20"/>
    <w:bookmarkEnd w:id="21"/>
    <w:bookmarkStart w:id="22" w:name="referentni-standardi"/>
    <w:p>
      <w:pPr>
        <w:pStyle w:val="Heading2"/>
      </w:pPr>
      <w:r>
        <w:t xml:space="preserve">2. Referentni standardi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Osnove proračuna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 EN 1990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Dejstva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 EN 1991-1-3 (snijeg), BAS EN 1991-1-4 (vjetar), sa BiH 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Beton i čelik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 EN 1992-1-1, BAS EN 1993-1-1, BAS EN 206, EN 10025-2, EN 10219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Geotehnika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 EN 1997-1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Izrada čeličnih konstrukcija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1090-1, EN 1090-2 (EXC2)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ISO 1461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Elektroinstalacije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IEC 60364 (tj. 60364-4-41), BAS EN 60529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Gromobranska zaštita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62305-1 do 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Prenaponska zaštita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61643-11, EN 61643-21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Fotonaponski sistemi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IEC 62548, IEC 62852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8528-1, ISO 8528-3, ISO 3046-1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Zaštita od požara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važeći propisi RS / FBiH / BiH; elaborat zaštite od požara za svaku lokaciju</w:t>
            </w:r>
          </w:p>
        </w:tc>
      </w:tr>
    </w:tbl>
    <w:p>
      <w:pPr>
        <w:pStyle w:val="BodyText"/>
      </w:pPr>
      <w:r>
        <w:rPr>
          <w:bCs/>
          <w:b/>
        </w:rPr>
        <w:t xml:space="preserve">Dokumentacija proizvođača opreme:</w:t>
      </w:r>
      <w:r>
        <w:t xml:space="preserve"> </w:t>
      </w:r>
      <w:r>
        <w:t xml:space="preserve">FG Wilson P18-6 (Skid) TDS 2019-08-14; Huawei</w:t>
      </w:r>
      <w:r>
        <w:t xml:space="preserve"> </w:t>
      </w:r>
      <w:r>
        <w:t xml:space="preserve">PV Module Solution User Manual; Huawei MTS9300A Telecom Power Installation Guide;</w:t>
      </w:r>
      <w:r>
        <w:t xml:space="preserve"> </w:t>
      </w:r>
      <w:r>
        <w:t xml:space="preserve">Huawei ICC360-HA1-C1 (PowerCube 1000) Installation Guide.</w:t>
      </w:r>
    </w:p>
    <w:p>
      <w:r>
        <w:pict>
          <v:rect style="width:0;height:1.5pt" o:hralign="center" o:hrstd="t" o:hr="t"/>
        </w:pict>
      </w:r>
    </w:p>
    <w:bookmarkEnd w:id="22"/>
    <w:bookmarkStart w:id="30" w:name="Xa0dc91b7ca1638c80d87278ee8640aa2944331c"/>
    <w:p>
      <w:pPr>
        <w:pStyle w:val="Heading2"/>
      </w:pPr>
      <w:r>
        <w:t xml:space="preserve">3. LOT 1 — Infrastruktura fotonaponskih panela (obje lokacije)</w:t>
      </w:r>
    </w:p>
    <w:p>
      <w:pPr>
        <w:pStyle w:val="FirstParagraph"/>
      </w:pPr>
      <w:r>
        <w:t xml:space="preserve">Nosači, temelji i uzemljenje su</w:t>
      </w:r>
      <w:r>
        <w:t xml:space="preserve"> </w:t>
      </w:r>
      <w:r>
        <w:rPr>
          <w:bCs/>
          <w:b/>
        </w:rPr>
        <w:t xml:space="preserve">isti na obje lokacije</w:t>
      </w:r>
      <w:r>
        <w:t xml:space="preserve">. Tačke 3.1–3.6 vrijede za obje;</w:t>
      </w:r>
      <w:r>
        <w:t xml:space="preserve"> </w:t>
      </w:r>
      <w:r>
        <w:t xml:space="preserve">razlike su u Tački 3.7.</w:t>
      </w:r>
    </w:p>
    <w:bookmarkStart w:id="23" w:name="konfiguracija"/>
    <w:p>
      <w:pPr>
        <w:pStyle w:val="Heading3"/>
      </w:pPr>
      <w:r>
        <w:t xml:space="preserve">3.1 Konfiguracija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Broj PV nosača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odvojena nosača × 3 modula po lokaciji (ukupno 8 kom), u jednom nizu sa razmakom 400 mm, dužina niza 10 312 mm — odvojeni nosači umjesto jednog kontinuiranog polja, radi manjeg opterećenja vjetrom po nosaču (Naručilac 11.09.2026)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Broj PV stringova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stringa × 6 modula (Voc ≈309 V, Imp 13,67 A) po lokaciji — po jedan string na svaku od dvije rute PVDB ormara; string se prostire preko dva nosača (PV-1 + PV-2, PV-3 + PV-4)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Broj PV modula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× 585 Wp = 7,02 kWp po lokaciji; 3 modula po nosaču, 3 reda × 1 stupac, položeno (landscape)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 PV modula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Huawei iPV585-M2A (2278 × 1134 × 30 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Nagib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fiksno 45°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Azimut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225° (pravi JUGOZAPAD); niz paralelan sa JZ ogradom (Naručilac 11.09.2026)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Širina PV polja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2278 mm (poprečna greda 2891 mm, bočni prepust 306,5 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Dužina PV polja po nagibu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3442 mm (3 × 1134 mm + 2 × 20 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Horizontalna projekcija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2434 mm pri 45°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Donja / gornja ivica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+0,50 m / +2,93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7,84 m² po nosaču</w:t>
            </w:r>
          </w:p>
        </w:tc>
      </w:tr>
    </w:tbl>
    <w:bookmarkEnd w:id="23"/>
    <w:bookmarkStart w:id="24" w:name="projektna-opterećenja-konstrukcije"/>
    <w:p>
      <w:pPr>
        <w:pStyle w:val="Heading3"/>
      </w:pPr>
      <w:r>
        <w:t xml:space="preserve">3.2 Projektna opterećenja konstrukcije</w:t>
      </w:r>
    </w:p>
    <w:p>
      <w:pPr>
        <w:pStyle w:val="FirstParagraph"/>
      </w:pPr>
      <w:r>
        <w:rPr>
          <w:bCs/>
          <w:b/>
        </w:rPr>
        <w:t xml:space="preserve">Izrada konstrukcije:</w:t>
      </w:r>
      <w:r>
        <w:t xml:space="preserve"> </w:t>
      </w:r>
      <w:r>
        <w:t xml:space="preserve">zahtijeva se</w:t>
      </w:r>
      <w:r>
        <w:t xml:space="preserve"> </w:t>
      </w:r>
      <w:r>
        <w:rPr>
          <w:bCs/>
          <w:b/>
        </w:rPr>
        <w:t xml:space="preserve">CUSTOM IZRADA</w:t>
      </w:r>
      <w:r>
        <w:t xml:space="preserve"> </w:t>
      </w:r>
      <w:r>
        <w:t xml:space="preserve">konstrukcije dimenzionisana i</w:t>
      </w:r>
      <w:r>
        <w:t xml:space="preserve"> </w:t>
      </w:r>
      <w:r>
        <w:t xml:space="preserve">dokazana za stvarna opterećenja i uticaje na lokalitetu. Nijedan kataloški nagib Huawei</w:t>
      </w:r>
      <w:r>
        <w:t xml:space="preserve"> </w:t>
      </w:r>
      <w:r>
        <w:t xml:space="preserve">nosača tipa A nije usklađen sa qp lokacija (deklarisano 0,52–0,87 kN/m² prema</w:t>
      </w:r>
      <w:r>
        <w:t xml:space="preserve"> </w:t>
      </w:r>
      <w:r>
        <w:t xml:space="preserve">zahtijevanih 1,20 kN/m²).</w:t>
      </w:r>
    </w:p>
    <w:p>
      <w:pPr>
        <w:pStyle w:val="BodyText"/>
      </w:pPr>
      <w:r>
        <w:rPr>
          <w:bCs/>
          <w:b/>
        </w:rPr>
        <w:t xml:space="preserve">Podatak lokaliteta</w:t>
      </w:r>
      <w:r>
        <w:t xml:space="preserve"> </w:t>
      </w:r>
      <w:r>
        <w:t xml:space="preserve">(obavezujuće, iz ovjerene projektne dokumentacije lokacije):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Pritisak vjetra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qp ≥ 1,20 kN/m² na obje lokacije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Koeficijent sile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 ≥ 1,5 pri 45° prema EN 1991-1-4 §7.3, osim ako se proračunom dokaže drugačije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Mjerodavno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podizanje (uplift) i prevrtanje, a NE nosivost tla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Projektne sile po nosaču se ne zadaju.</w:t>
      </w:r>
      <w:r>
        <w:t xml:space="preserve"> </w:t>
      </w:r>
      <w:r>
        <w:t xml:space="preserve">One proizlaze iz koncepta konstrukcije koji</w:t>
      </w:r>
      <w:r>
        <w:t xml:space="preserve"> </w:t>
      </w:r>
      <w:r>
        <w:t xml:space="preserve">Ponuđač nudi i iskazuju se i dokazuju u njegovom tehničkom rješenju i statičkom proračunu</w:t>
      </w:r>
      <w:r>
        <w:t xml:space="preserve"> </w:t>
      </w:r>
      <w:r>
        <w:t xml:space="preserve">(Tačka 5, dokaz 2). Vrijednosti u tabeli ispod su</w:t>
      </w:r>
      <w:r>
        <w:t xml:space="preserve"> </w:t>
      </w:r>
      <w:r>
        <w:rPr>
          <w:bCs/>
          <w:b/>
        </w:rPr>
        <w:t xml:space="preserve">orijentacione</w:t>
      </w:r>
      <w:r>
        <w:t xml:space="preserve">, izvedene za referentnu</w:t>
      </w:r>
      <w:r>
        <w:t xml:space="preserve"> </w:t>
      </w:r>
      <w:r>
        <w:t xml:space="preserve">geometriju polja iz Tačke 3.1, i služe samo za procjenu reda veličine: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Parametar (orijentaciono)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7,84 m² po nosaču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Sila podizanja po nosaču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14,1 kN (GSN, γQ = 1,5 / γG,fav = 0,9; vlastita težina konstrukcije se zanemaruje)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Horizontalna sila po nosaču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 kN (GSN)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 prevrtanja po nosaču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25,7 kNm (GSN)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Spreg po temeljnoj traci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16,1 kN pri razmaku traka 1600 mm</w:t>
            </w:r>
          </w:p>
        </w:tc>
      </w:tr>
    </w:tbl>
    <w:bookmarkEnd w:id="24"/>
    <w:bookmarkStart w:id="25" w:name="materijal-i-izrada-konstrukcije"/>
    <w:p>
      <w:pPr>
        <w:pStyle w:val="Heading3"/>
      </w:pPr>
      <w:r>
        <w:t xml:space="preserve">3.3 Materijal i izrada konstrukcije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Konstrukcijski čelik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S275JR (S355JR za stubove) prema EN 10025-2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šuplji profili prema EN 10219; stubovi min. RHS 80 × 80 × 4, rigle min. RHS 60 × 40 × 3, ili presjek sa dokazano najmanje jednakim otpornim momentom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vruće cinčanje prema EN ISO 1461, min. 70 µm lokalno / 85 µm srednje (C4)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Zavarivanje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1090-2, klasa izvedbe EXC2; zavarivači prema EN ISO 9606-1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Označavanje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i izjava o svojstvima prema EN 1090-1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Konstrukcijski vijci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M16 klase 8.8, cinčani, prema EN 15048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Pričvršćenje modula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nehrđajući A2/A4; stezaljke za debljinu modula 30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Zaštita od krađe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antitheft matice na stezaljkama modula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 pritezanja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 uputstvu proizvođača (45 N·m za Huawei)</w:t>
            </w:r>
          </w:p>
        </w:tc>
      </w:tr>
    </w:tbl>
    <w:bookmarkEnd w:id="25"/>
    <w:bookmarkStart w:id="26" w:name="sidrenje"/>
    <w:p>
      <w:pPr>
        <w:pStyle w:val="Heading3"/>
      </w:pPr>
      <w:r>
        <w:t xml:space="preserve">3.4 Sidrenje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hemijski (epoksidni/vinilesterski) anker M16 ili M20, sa ETA odobrenjem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Materijal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vruće cinčan ili nehrđajući A4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min. 2 ankera po temeljnoj traci, odnosno 4 po nosaču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Nosivost i dubina ugradnje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 ETA za konkretnu podlogu (beton / stijena) i prema statičkom proračunu iz tehničkog rješenja Ponuđača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Projektne sile ankerisanja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proizlaze iz koncepta konstrukcije koji Ponuđač nudi i iskazuju se u tehničkom rješenju; mjerodavno opterećenje sidrenja je</w:t>
            </w:r>
            <w:r>
              <w:t xml:space="preserve"> </w:t>
            </w:r>
            <w:r>
              <w:rPr>
                <w:bCs/>
                <w:b/>
              </w:rPr>
              <w:t xml:space="preserve">sila po traci od momenta prevrtanja</w:t>
            </w:r>
            <w:r>
              <w:t xml:space="preserve"> </w:t>
            </w:r>
            <w:r>
              <w:t xml:space="preserve">(Tačka 3.2, orijentaciono)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Dokazivanje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ispitivanje čupanjem (pull-out) na ≥10 % ugrađenih ankera, min. 2 po nosaču, do 1,5 × projektne sile, uz zapisnik ovjeren od nadzornog organa</w:t>
            </w:r>
          </w:p>
        </w:tc>
      </w:tr>
    </w:tbl>
    <w:bookmarkEnd w:id="26"/>
    <w:bookmarkStart w:id="27" w:name="temelji-nosača"/>
    <w:p>
      <w:pPr>
        <w:pStyle w:val="Heading3"/>
      </w:pPr>
      <w:r>
        <w:t xml:space="preserve">3.5 Temelji nosača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C30/37, klasa izloženosti XC4 + XF3, aerant 4–6 %, Dmax 16,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Podložni beton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C12/15, d = 50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Armatura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B500B, zaštitni sloj ≥50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Geometrija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trake po nosaču (×4 nosača =</w:t>
            </w:r>
            <w:r>
              <w:t xml:space="preserve"> </w:t>
            </w:r>
            <w:r>
              <w:rPr>
                <w:bCs/>
                <w:b/>
              </w:rPr>
              <w:t xml:space="preserve">8 traka po lokaciji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500 × 2600 mm, jedinstvene širine po cijeloj dubini</w:t>
            </w:r>
            <w:r>
              <w:t xml:space="preserve"> </w:t>
            </w:r>
            <w:r>
              <w:t xml:space="preserve">(bez proširenja u dnu),</w:t>
            </w:r>
            <w:r>
              <w:t xml:space="preserve"> </w:t>
            </w:r>
            <w:r>
              <w:rPr>
                <w:bCs/>
                <w:b/>
              </w:rPr>
              <w:t xml:space="preserve">pune dubine 900 mm</w:t>
            </w:r>
            <w:r>
              <w:t xml:space="preserve">, razmak 1600 mm, upravno na niz (pravac JZ–SI)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Zapremina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1,170 m³ po traci → 9,36 m³ po lokaciji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Smještaj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IZVAN ograđenog platoa</w:t>
            </w:r>
            <w:r>
              <w:t xml:space="preserve">, na JZ strani ograde (Tačka 3.7)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Dubina smrzavanja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temeljna spojnica ispod dubine smrzavanja; Ponuđač navodi vrijednost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Traka se betonira punom dubinom rova, jedinstvene širine.</w:t>
      </w:r>
      <w:r>
        <w:t xml:space="preserve"> </w:t>
      </w:r>
      <w:r>
        <w:t xml:space="preserve">Rov u stijeni siječe se</w:t>
      </w:r>
      <w:r>
        <w:t xml:space="preserve"> </w:t>
      </w:r>
      <w:r>
        <w:t xml:space="preserve">jednom širinom po cijeloj dubini — temelj širi u dnu nego u vrhu tražio bi potkopavanje i</w:t>
      </w:r>
      <w:r>
        <w:t xml:space="preserve"> </w:t>
      </w:r>
      <w:r>
        <w:t xml:space="preserve">na kršu nije izvodiv. Vlastita težina trake je dio dokaza sigurnosti na podizanje:</w:t>
      </w:r>
      <w:r>
        <w:t xml:space="preserve"> </w:t>
      </w:r>
      <w:r>
        <w:rPr>
          <w:rStyle w:val="VerbatimChar"/>
        </w:rPr>
        <w:t xml:space="preserve">1,170 m³ × 24 kN/m³ × 0,9 = 25,3 kN</w:t>
      </w:r>
      <w:r>
        <w:t xml:space="preserve"> </w:t>
      </w:r>
      <w:r>
        <w:t xml:space="preserve">prema sprezi od 16,1 kN po traci. Traka manje</w:t>
      </w:r>
      <w:r>
        <w:t xml:space="preserve"> </w:t>
      </w:r>
      <w:r>
        <w:t xml:space="preserve">zapremine tu provjeru ne zatvara vlastitom težinom. Pošto traka ispunjava rov,</w:t>
      </w:r>
      <w:r>
        <w:t xml:space="preserve"> </w:t>
      </w:r>
      <w:r>
        <w:rPr>
          <w:bCs/>
          <w:b/>
        </w:rPr>
        <w:t xml:space="preserve">zatrpavanja nema</w:t>
      </w:r>
      <w:r>
        <w:t xml:space="preserve"> </w:t>
      </w:r>
      <w:r>
        <w:t xml:space="preserve">i sav iskopani materijal se odvozi.</w:t>
      </w:r>
    </w:p>
    <w:bookmarkEnd w:id="27"/>
    <w:bookmarkStart w:id="28" w:name="uzemljenje-lot-1"/>
    <w:p>
      <w:pPr>
        <w:pStyle w:val="Heading3"/>
      </w:pPr>
      <w:r>
        <w:t xml:space="preserve">3.6 Uzemljenje (LOT 1)</w:t>
      </w:r>
    </w:p>
    <w:p>
      <w:pPr>
        <w:numPr>
          <w:ilvl w:val="0"/>
          <w:numId w:val="1001"/>
        </w:numPr>
        <w:pStyle w:val="Compact"/>
      </w:pPr>
      <w:r>
        <w:t xml:space="preserve">povezivanje</w:t>
      </w:r>
      <w:r>
        <w:t xml:space="preserve"> </w:t>
      </w:r>
      <w:r>
        <w:rPr>
          <w:bCs/>
          <w:b/>
        </w:rPr>
        <w:t xml:space="preserve">sva četiri nosača</w:t>
      </w:r>
      <w:r>
        <w:t xml:space="preserve"> </w:t>
      </w:r>
      <w:r>
        <w:t xml:space="preserve">na svakoj lokaciji na postojeći uzemljivač Fe/Zn 25 × 4 mm</w:t>
      </w:r>
    </w:p>
    <w:p>
      <w:pPr>
        <w:numPr>
          <w:ilvl w:val="0"/>
          <w:numId w:val="1001"/>
        </w:numPr>
        <w:pStyle w:val="Compact"/>
      </w:pPr>
      <w:r>
        <w:t xml:space="preserve">vodič: bakarno uže ≥50 mm² prema EN 62305-3, Tabela 7, otporno na UV i ukopavanje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NIJE dozvoljen</w:t>
      </w:r>
      <w:r>
        <w:t xml:space="preserve"> </w:t>
      </w:r>
      <w:r>
        <w:t xml:space="preserve">H07V-K 25 mm² (unutrašnji instalacioni vodič)</w:t>
      </w:r>
    </w:p>
    <w:p>
      <w:pPr>
        <w:numPr>
          <w:ilvl w:val="0"/>
          <w:numId w:val="1001"/>
        </w:numPr>
        <w:pStyle w:val="Compact"/>
      </w:pPr>
      <w:r>
        <w:t xml:space="preserve">bimetalni (Cu/Fe-Zn) ukrsni komadi otporni na galvansku koroziju</w:t>
      </w:r>
    </w:p>
    <w:p>
      <w:pPr>
        <w:numPr>
          <w:ilvl w:val="0"/>
          <w:numId w:val="1001"/>
        </w:numPr>
        <w:pStyle w:val="Compact"/>
      </w:pPr>
      <w:r>
        <w:t xml:space="preserve">kontinuitet spojeva ≤0,1 Ω; ukupni otpor uzemljenja ≤10 Ω</w:t>
      </w:r>
    </w:p>
    <w:p>
      <w:pPr>
        <w:numPr>
          <w:ilvl w:val="0"/>
          <w:numId w:val="1001"/>
        </w:numPr>
        <w:pStyle w:val="Compact"/>
      </w:pPr>
      <w:r>
        <w:t xml:space="preserve">DC kablovi na razmaku ≥0,5 m od odvoda gromobranske instalacije</w:t>
      </w:r>
    </w:p>
    <w:p>
      <w:pPr>
        <w:numPr>
          <w:ilvl w:val="0"/>
          <w:numId w:val="1001"/>
        </w:numPr>
        <w:pStyle w:val="Compact"/>
      </w:pPr>
      <w:r>
        <w:t xml:space="preserve">FN polja su na obje lokacije unutar zone zaštite antenskog stuba (metoda kotrljajuće</w:t>
      </w:r>
      <w:r>
        <w:t xml:space="preserve"> </w:t>
      </w:r>
      <w:r>
        <w:t xml:space="preserve">sfere, LPL I) — dodatne hvataljke nisu potrebne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Hamzići:</w:t>
      </w:r>
      <w:r>
        <w:t xml:space="preserve"> </w:t>
      </w:r>
      <w:r>
        <w:t xml:space="preserve">svih 8 temeljnih traka u JZ pojasu presijeca dva postojeća prstena uzemljivača Fe/Zn 25 × 4 mm</w:t>
      </w:r>
      <w:r>
        <w:t xml:space="preserve"> </w:t>
      </w:r>
      <w:r>
        <w:t xml:space="preserve">na dubini 0,8 m (1,05 m i 2,30 m od ivice ploče, ovjereni</w:t>
      </w:r>
      <w:r>
        <w:t xml:space="preserve"> </w:t>
      </w:r>
      <w:r>
        <w:rPr>
          <w:rStyle w:val="VerbatimChar"/>
        </w:rPr>
        <w:t xml:space="preserve">3.6.9 Plan uzemljivača</w:t>
      </w:r>
      <w:r>
        <w:t xml:space="preserve">).</w:t>
      </w:r>
      <w:r>
        <w:t xml:space="preserve"> </w:t>
      </w:r>
      <w:r>
        <w:t xml:space="preserve">Ponuđač ih locira i otkopava, pa ih premješta ispod ili oko trake ili premošćuje istim</w:t>
      </w:r>
      <w:r>
        <w:t xml:space="preserve"> </w:t>
      </w:r>
      <w:r>
        <w:t xml:space="preserve">materijalom — prsten se ne prekida trajno; otpor uzemljenja mjeri prije i poslije radova</w:t>
      </w:r>
    </w:p>
    <w:bookmarkEnd w:id="28"/>
    <w:bookmarkStart w:id="29" w:name="posebno-po-lokaciji"/>
    <w:p>
      <w:pPr>
        <w:pStyle w:val="Heading3"/>
      </w:pPr>
      <w:r>
        <w:t xml:space="preserve">3.7 Posebno po lokaciji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505"/>
        <w:gridCol w:w="2891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Sjednica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Kota ograde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 = 2,10 m (ovjereni</w:t>
            </w:r>
            <w:r>
              <w:t xml:space="preserve"> </w:t>
            </w:r>
            <w:r>
              <w:rPr>
                <w:rStyle w:val="VerbatimChar"/>
              </w:rPr>
              <w:t xml:space="preserve">04 Ograda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 = 1,80 m od ploče (ovjereni</w:t>
            </w:r>
            <w:r>
              <w:t xml:space="preserve"> </w:t>
            </w:r>
            <w:r>
              <w:rPr>
                <w:rStyle w:val="VerbatimChar"/>
              </w:rPr>
              <w:t xml:space="preserve">04_Ograda</w:t>
            </w:r>
            <w:r>
              <w:t xml:space="preserve">); teren oko ploče je na −0,20 m, pa je ograda 2,00 m iznad terena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Nadvišenje ograde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0,93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Raspoloživi prostor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JZ strani ograde, unutar zakupljene parcele 16,00 × 9,40 m; niz 10 312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pojas na JZ strani ploče dubine 3300 mm i dužine 12,50 m, unutar zakupa 12,00 × 12,50 m — projekcija polja 2434 mm i trake 2600 mm staju sa po 350 mm od granice zakupa i od ploče; niz 10 312 mm centriran na ploču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Položaj nosača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niz paralelan sa JZ ogradom; Ponuđač utvrđuje odmak od ograde tako da ravan panela nigdje ne dodiruje ogradu, a konstrukcija ostane unutar parcele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nosači okrenuti na JZ (azimut 225°), niz paralelan sa granicom zakupa; iza niza, na ploči sa JZ strane, stoje vanjski ormari ICC360-HA1-C1 i MTS (0,85 m slobodno ispred njih); položaj potvrđuje Ponuđač geodetskim snimanjem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Prepreke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listopadno stablo JJI–JI od stuba (≈7–9 m, 15–20 m, izvan zakupa) zasjenjuje polje samo u zimskim jutrima (do ≈2 % decembarske proizvodnje; polje okrenuto na JZ ga uglavnom izbjegava); stablo se ne uklanja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Grafički prilozi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S-01, S-02, 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H-01, H-02, H-03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59" w:name="Xa623a428715cd96038377c7061703278bc74d49"/>
    <w:p>
      <w:pPr>
        <w:pStyle w:val="Heading2"/>
      </w:pPr>
      <w:r>
        <w:t xml:space="preserve">4. LOT 2 — Dizel električni agregat i instalacije (obje lokacije)</w:t>
      </w:r>
    </w:p>
    <w:p>
      <w:pPr>
        <w:pStyle w:val="FirstParagraph"/>
      </w:pPr>
      <w:r>
        <w:t xml:space="preserve">Na svakoj lokaciji se u postojeći kontejner ugrađuje po jedan agregat sa spremnikom</w:t>
      </w:r>
      <w:r>
        <w:t xml:space="preserve"> </w:t>
      </w:r>
      <w:r>
        <w:t xml:space="preserve">goriva. Tačke 4.1–4.7 vrijede za obje lokacije; raspored otvora, izduv i instalacije</w:t>
      </w:r>
      <w:r>
        <w:t xml:space="preserve"> </w:t>
      </w:r>
      <w:r>
        <w:t xml:space="preserve">razlikuju se po lokaciji i dati su u Tačkama 4.3–4.5; Tačka 4.8 je samo za Hamziće.</w:t>
      </w:r>
    </w:p>
    <w:bookmarkStart w:id="37" w:name="agregat"/>
    <w:p>
      <w:pPr>
        <w:pStyle w:val="Heading3"/>
      </w:pPr>
      <w:r>
        <w:t xml:space="preserve">4.1 Agregat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Zahtjev / referentna vrijednost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kVA / 14,4 kW standby, 400/230 V, 50 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Referentni 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FG Wilson P18-6 ili ekvivalent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Perkins 404D-22G1 ili ekvivalent, 4-cilindarski, 2,2 l, 1500 o/min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Izvedba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 montažu u prostor (skid, bez vlastitog kućišta)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Dimenzije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 × 620 × 1020 mm (referentno ±5 %)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 kg suho / 372 kg mokro (referentno)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Sjednica: 1076 m n.v., Hamzići: 493 m n.v., temperatura okoline do +40 °C (ISO 3046-1); Ponuđač dostavlja derating proizvođača za obje lokacije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Uzbuda (OBAVEZNO)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nezavisna pobuda —</w:t>
            </w:r>
            <w:r>
              <w:t xml:space="preserve"> </w:t>
            </w:r>
            <w:r>
              <w:rPr>
                <w:bCs/>
                <w:b/>
              </w:rPr>
              <w:t xml:space="preserve">PMG ili AREP/AUX</w:t>
            </w:r>
            <w:r>
              <w:t xml:space="preserve"> </w:t>
            </w:r>
            <w:r>
              <w:t xml:space="preserve">namotaj; trajna struja kratkog spoja</w:t>
            </w:r>
            <w:r>
              <w:t xml:space="preserve"> </w:t>
            </w:r>
            <w:r>
              <w:rPr>
                <w:bCs/>
                <w:b/>
              </w:rPr>
              <w:t xml:space="preserve">≥3 × In (≈78 A)</w:t>
            </w:r>
            <w:r>
              <w:t xml:space="preserve"> </w:t>
            </w:r>
            <w:r>
              <w:t xml:space="preserve">u trajanju ≥10 s prema ISO 8528-3. Standardna SHUNT pobuda</w:t>
            </w:r>
            <w:r>
              <w:t xml:space="preserve"> </w:t>
            </w:r>
            <w:r>
              <w:rPr>
                <w:bCs/>
                <w:b/>
              </w:rPr>
              <w:t xml:space="preserve">NIJE prihvatljiva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Antivibracioni elementi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gumeno-metalni oslonci, vlastita frekvencija ≤8 Hz, statički progib ≥5 mm, između skida i roštilja iz Tačke 4.2;</w:t>
            </w:r>
            <w:r>
              <w:t xml:space="preserve"> </w:t>
            </w:r>
            <w:r>
              <w:rPr>
                <w:bCs/>
                <w:b/>
              </w:rPr>
              <w:t xml:space="preserve">svi priključci na motor elastični</w:t>
            </w:r>
            <w:r>
              <w:t xml:space="preserve"> </w:t>
            </w:r>
            <w:r>
              <w:t xml:space="preserve">— izduv, hladnjak i</w:t>
            </w:r>
            <w:r>
              <w:t xml:space="preserve"> </w:t>
            </w:r>
            <w:r>
              <w:rPr>
                <w:bCs/>
                <w:b/>
              </w:rPr>
              <w:t xml:space="preserve">oba voda goriva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Hladni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predgrijač rashladne tečnosti na DC, napojen iz DC razvoda −48 V (Tačka 4.5); uključuje ga kontroler agregata samo za kratko predgrijavanje prije starta pri niskoj temperaturi; uz to pomoćna sredstva za hladni start prema proizvođaču i zimsko dizel gorivo prema EN 590. Grijač prostora se ne predviđa — agregat je jedini izvor izmjeničnog napona</w:t>
            </w:r>
          </w:p>
        </w:tc>
      </w:tr>
    </w:tbl>
    <w:p>
      <w:pPr>
        <w:pStyle w:val="CaptionedFigure"/>
      </w:pPr>
      <w:r>
        <w:drawing>
          <wp:inline>
            <wp:extent cx="3665220" cy="3023806"/>
            <wp:effectExtent b="0" l="0" r="0" t="0"/>
            <wp:docPr descr="Slika 1 — FG Wilson P18-6 (Skid), bočni pogled (ilustrativno)" title="" id="32" name="Picture"/>
            <a:graphic>
              <a:graphicData uri="http://schemas.openxmlformats.org/drawingml/2006/picture">
                <pic:pic>
                  <pic:nvPicPr>
                    <pic:cNvPr descr="../TD-OUTPUT/grafika/prilog1/agregat-bocni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3023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 — FG Wilson P18-6 (Skid), bočni pogled (ilustrativno)</w:t>
      </w:r>
    </w:p>
    <w:p>
      <w:pPr>
        <w:pStyle w:val="CaptionedFigure"/>
      </w:pPr>
      <w:r>
        <w:drawing>
          <wp:inline>
            <wp:extent cx="2565654" cy="3754615"/>
            <wp:effectExtent b="0" l="0" r="0" t="0"/>
            <wp:docPr descr="Slika 2 — FG Wilson P18-6 (Skid), čeoni pogled (generator) (ilustrativno)" title="" id="35" name="Picture"/>
            <a:graphic>
              <a:graphicData uri="http://schemas.openxmlformats.org/drawingml/2006/picture">
                <pic:pic>
                  <pic:nvPicPr>
                    <pic:cNvPr descr="../TD-OUTPUT/grafika/prilog1/agregat-celni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654" cy="3754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 — FG Wilson P18-6 (Skid), čeoni pogled (generator) (ilustrativno)</w:t>
      </w:r>
    </w:p>
    <w:bookmarkEnd w:id="37"/>
    <w:bookmarkStart w:id="44" w:name="spremnik-goriva-i-oslanjanje-opreme"/>
    <w:p>
      <w:pPr>
        <w:pStyle w:val="Heading3"/>
      </w:pPr>
      <w:r>
        <w:t xml:space="preserve">4.2 Spremnik goriva i oslanjanje opreme</w:t>
      </w:r>
    </w:p>
    <w:p>
      <w:pPr>
        <w:numPr>
          <w:ilvl w:val="0"/>
          <w:numId w:val="1002"/>
        </w:numPr>
        <w:pStyle w:val="Compact"/>
      </w:pPr>
      <w:r>
        <w:t xml:space="preserve">metalni,</w:t>
      </w:r>
      <w:r>
        <w:t xml:space="preserve"> </w:t>
      </w:r>
      <w:r>
        <w:rPr>
          <w:bCs/>
          <w:b/>
        </w:rPr>
        <w:t xml:space="preserve">dvoplašni</w:t>
      </w:r>
      <w:r>
        <w:t xml:space="preserve">, zapremine</w:t>
      </w:r>
      <w:r>
        <w:t xml:space="preserve"> </w:t>
      </w:r>
      <w:r>
        <w:rPr>
          <w:bCs/>
          <w:b/>
        </w:rPr>
        <w:t xml:space="preserve">500 l</w:t>
      </w:r>
      <w:r>
        <w:t xml:space="preserve">, sa nivo sondom i detekcijom curenja</w:t>
      </w:r>
      <w:r>
        <w:t xml:space="preserve"> </w:t>
      </w:r>
      <w:r>
        <w:t xml:space="preserve">goriva u međuplaštu</w:t>
      </w:r>
    </w:p>
    <w:p>
      <w:pPr>
        <w:numPr>
          <w:ilvl w:val="0"/>
          <w:numId w:val="1002"/>
        </w:numPr>
        <w:pStyle w:val="Compact"/>
      </w:pPr>
      <w:r>
        <w:t xml:space="preserve">referentne dimenzije 1050 × 600 × 1310 mm, masa cca 170 kg — pun ≈590 kg na</w:t>
      </w:r>
      <w:r>
        <w:t xml:space="preserve"> </w:t>
      </w:r>
      <w:r>
        <w:t xml:space="preserve">0,63 m² = 9,2 kN/m²; unutar projektnih 10,00 kN/m²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OBAVEZAN čelični ram/roštilj za raznošenje opterećenja</w:t>
      </w:r>
      <w:r>
        <w:t xml:space="preserve"> </w:t>
      </w:r>
      <w:r>
        <w:t xml:space="preserve">pod DEA i pod koritom sa</w:t>
      </w:r>
      <w:r>
        <w:t xml:space="preserve"> </w:t>
      </w:r>
      <w:r>
        <w:t xml:space="preserve">spremnikom, sa prenosom na primarne nosače podne konstrukcije. Opterećenja su</w:t>
      </w:r>
      <w:r>
        <w:t xml:space="preserve"> </w:t>
      </w:r>
      <w:r>
        <w:t xml:space="preserve">koncentrisana na mali broj sekundarnih nosača (HOP 100 × 50 × 3 na 0,51 m), dok se</w:t>
      </w:r>
      <w:r>
        <w:t xml:space="preserve"> </w:t>
      </w:r>
      <w:r>
        <w:t xml:space="preserve">10,00 kN/m² odnosi na ravnomjerno raspodijeljeno opterećenje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sekundarnu zaštitu čini međuplašt</w:t>
      </w:r>
      <w:r>
        <w:t xml:space="preserve"> </w:t>
      </w:r>
      <w:r>
        <w:t xml:space="preserve">dvoplašnog spremnika sa sondom za detekciju</w:t>
      </w:r>
      <w:r>
        <w:t xml:space="preserve"> </w:t>
      </w:r>
      <w:r>
        <w:t xml:space="preserve">curenja, pa tankvana zapremine ≥110 %</w:t>
      </w:r>
      <w:r>
        <w:t xml:space="preserve"> </w:t>
      </w:r>
      <w:r>
        <w:rPr>
          <w:bCs/>
          <w:b/>
        </w:rPr>
        <w:t xml:space="preserve">NIJE zahtijevana</w:t>
      </w:r>
      <w:r>
        <w:t xml:space="preserve">. Ispod spremnika se</w:t>
      </w:r>
      <w:r>
        <w:t xml:space="preserve"> </w:t>
      </w:r>
      <w:r>
        <w:t xml:space="preserve">izvodi</w:t>
      </w:r>
      <w:r>
        <w:t xml:space="preserve"> </w:t>
      </w:r>
      <w:r>
        <w:rPr>
          <w:bCs/>
          <w:b/>
        </w:rPr>
        <w:t xml:space="preserve">prihvatno korito (kada) 1150 × 640 mm, visina ruba 200 mm</w:t>
      </w:r>
      <w:r>
        <w:t xml:space="preserve">, za prihvat</w:t>
      </w:r>
      <w:r>
        <w:t xml:space="preserve"> </w:t>
      </w:r>
      <w:r>
        <w:t xml:space="preserve">kapanja i prosipanja, sa vidljivim najnižim mjestom za kontrolu i pražnjenje</w:t>
      </w:r>
    </w:p>
    <w:p>
      <w:pPr>
        <w:numPr>
          <w:ilvl w:val="0"/>
          <w:numId w:val="1002"/>
        </w:numPr>
        <w:pStyle w:val="Compact"/>
      </w:pPr>
      <w:r>
        <w:t xml:space="preserve">vanjski priključak za tankanje sa zaštitom od statičkog elektriciteta i</w:t>
      </w:r>
      <w:r>
        <w:t xml:space="preserve"> </w:t>
      </w:r>
      <w:r>
        <w:t xml:space="preserve">sprječavanjem prelijevanja</w:t>
      </w:r>
    </w:p>
    <w:p>
      <w:pPr>
        <w:numPr>
          <w:ilvl w:val="0"/>
          <w:numId w:val="1002"/>
        </w:numPr>
        <w:pStyle w:val="Compact"/>
      </w:pPr>
      <w:r>
        <w:t xml:space="preserve">odušna cijev izvan kontejnera, sa plamenobranom, udaljena ≥3 m od izduva i usisa</w:t>
      </w:r>
      <w:r>
        <w:t xml:space="preserve"> </w:t>
      </w:r>
      <w:r>
        <w:t xml:space="preserve">zraka</w:t>
      </w:r>
    </w:p>
    <w:p>
      <w:pPr>
        <w:numPr>
          <w:ilvl w:val="0"/>
          <w:numId w:val="1002"/>
        </w:numPr>
        <w:pStyle w:val="Compact"/>
      </w:pPr>
      <w:r>
        <w:t xml:space="preserve">protupožarni ventil na izlazu iz spremnika (topljivi osigurač ili solenoid),</w:t>
      </w:r>
      <w:r>
        <w:t xml:space="preserve"> </w:t>
      </w:r>
      <w:r>
        <w:t xml:space="preserve">aktiviran požarom i E-STOP-om</w:t>
      </w:r>
    </w:p>
    <w:p>
      <w:pPr>
        <w:numPr>
          <w:ilvl w:val="0"/>
          <w:numId w:val="1002"/>
        </w:numPr>
        <w:pStyle w:val="Compact"/>
      </w:pPr>
      <w:r>
        <w:t xml:space="preserve">napajanje motora gorivom Cu cijevima NO 8 mm (polazni i povratni vod), sa</w:t>
      </w:r>
      <w:r>
        <w:t xml:space="preserve"> </w:t>
      </w:r>
      <w:r>
        <w:rPr>
          <w:bCs/>
          <w:b/>
        </w:rPr>
        <w:t xml:space="preserve">fleksibilnim umetkom na oba voda neposredno uz motor</w:t>
      </w:r>
    </w:p>
    <w:p>
      <w:pPr>
        <w:numPr>
          <w:ilvl w:val="0"/>
          <w:numId w:val="1002"/>
        </w:numPr>
        <w:pStyle w:val="Compact"/>
      </w:pPr>
      <w:r>
        <w:t xml:space="preserve">sifon protiv povratnog toka</w:t>
      </w:r>
    </w:p>
    <w:p>
      <w:pPr>
        <w:pStyle w:val="CaptionedFigure"/>
      </w:pPr>
      <w:r>
        <w:drawing>
          <wp:inline>
            <wp:extent cx="3359785" cy="3355157"/>
            <wp:effectExtent b="0" l="0" r="0" t="0"/>
            <wp:docPr descr="Slika 3 — Spremnik goriva 500 l, bočni izgled (ilustrativno)" title="" id="39" name="Picture"/>
            <a:graphic>
              <a:graphicData uri="http://schemas.openxmlformats.org/drawingml/2006/picture">
                <pic:pic>
                  <pic:nvPicPr>
                    <pic:cNvPr descr="../TD-OUTPUT/grafika/prilog1/spremnik-bocni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3355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 — Spremnik goriva 500 l, bočni izgled (ilustrativno)</w:t>
      </w:r>
    </w:p>
    <w:p>
      <w:pPr>
        <w:pStyle w:val="CaptionedFigure"/>
      </w:pPr>
      <w:r>
        <w:drawing>
          <wp:inline>
            <wp:extent cx="3787394" cy="2482742"/>
            <wp:effectExtent b="0" l="0" r="0" t="0"/>
            <wp:docPr descr="Slika 4 — Spremnik goriva 500 l, pogled od vrha (ilustrativno)" title="" id="42" name="Picture"/>
            <a:graphic>
              <a:graphicData uri="http://schemas.openxmlformats.org/drawingml/2006/picture">
                <pic:pic>
                  <pic:nvPicPr>
                    <pic:cNvPr descr="../TD-OUTPUT/grafika/prilog1/spremnik-odozgo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394" cy="248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 — Spremnik goriva 500 l, pogled od vrha (ilustrativno)</w:t>
      </w:r>
    </w:p>
    <w:bookmarkEnd w:id="44"/>
    <w:bookmarkStart w:id="53" w:name="ventilacija-i-hlađenje"/>
    <w:p>
      <w:pPr>
        <w:pStyle w:val="Heading3"/>
      </w:pPr>
      <w:r>
        <w:t xml:space="preserve">4.3 Ventilacija i hlađenje</w:t>
      </w:r>
    </w:p>
    <w:p>
      <w:pPr>
        <w:pStyle w:val="FirstParagraph"/>
      </w:pPr>
      <w:r>
        <w:t xml:space="preserve">Dimenzionisano prema tehničkom listu proizvođača. Mjerodavno ograničenje je</w:t>
      </w:r>
      <w:r>
        <w:t xml:space="preserve"> </w:t>
      </w:r>
      <w:r>
        <w:rPr>
          <w:bCs/>
          <w:b/>
        </w:rPr>
        <w:t xml:space="preserve">maksimalni vanjski otpor strujanju zraka od 125 Pa</w:t>
      </w:r>
      <w:r>
        <w:t xml:space="preserve"> </w:t>
      </w:r>
      <w:r>
        <w:t xml:space="preserve">za cjelokupnu putanju.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Zrak hladnjaka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1980 m³/h (33 m³/min) — ostvaruje vlastiti ventilator hladnjaka; korigovano na gustinu lokacije: Sjednica 2151 m³/h, Hamzići 2206 m³/h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Zrak za sagorijevanje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m³/h; max. otpor usisa 3 kPa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Maks. vanjski otpor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125 Pa</w:t>
            </w:r>
            <w:r>
              <w:t xml:space="preserve"> </w:t>
            </w:r>
            <w:r>
              <w:t xml:space="preserve">(ukupno: usis + kanal + izlaz)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Toplota u prostor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5,8 kW</w:t>
            </w:r>
            <w:r>
              <w:t xml:space="preserve"> </w:t>
            </w:r>
            <w:r>
              <w:t xml:space="preserve">(uz 15,2 kW odvedenih rashladnom tečnošću i uljem)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Usisna žaluzina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× 700 mm (v ≈ 3,6 m/s, Δp ≈ 18 Pa)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Izlaz toplog zraka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slobodna površina ≥0,18 m² (bruto ≥0,36 m², npr. 600 × 600 mm; v ≈ 3,5 m/s)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 m³/h, Ø315,</w:t>
            </w:r>
            <w:r>
              <w:t xml:space="preserve"> </w:t>
            </w:r>
            <w:r>
              <w:rPr>
                <w:bCs/>
                <w:b/>
              </w:rPr>
              <w:t xml:space="preserve">48 V DC (EC)</w:t>
            </w:r>
            <w:r>
              <w:t xml:space="preserve">, napajan sa DC razvoda −48 V (Tačka 4.5); vođen termostatom dok agregat ne radi (i za hlađenje nakon zaustavljanja); kontroler DEA ga isključuje dok agregat radi, jer tada prostor ventilira struja zraka hladnjaka; blokiran sa aktiviranjem gašenja požara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Provjera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Izvođač dostavlja proračun pada pritiska ukupne putanje za svaku lokaciju</w:t>
            </w:r>
          </w:p>
        </w:tc>
      </w:tr>
    </w:tbl>
    <w:p>
      <w:pPr>
        <w:pStyle w:val="BodyText"/>
      </w:pPr>
      <w:r>
        <w:t xml:space="preserve">Otvori se izvode kroz</w:t>
      </w:r>
      <w:r>
        <w:t xml:space="preserve"> </w:t>
      </w:r>
      <w:r>
        <w:rPr>
          <w:bCs/>
          <w:b/>
        </w:rPr>
        <w:t xml:space="preserve">ZIDNE PANELE</w:t>
      </w:r>
      <w:r>
        <w:t xml:space="preserve"> </w:t>
      </w:r>
      <w:r>
        <w:t xml:space="preserve">kontejnera. Raspored je ukrsni. Nije dozvoljeno</w:t>
      </w:r>
      <w:r>
        <w:t xml:space="preserve"> </w:t>
      </w:r>
      <w:r>
        <w:t xml:space="preserve">izvesti usis, izlaz i izduv na istom zidu, niti dovod zraka kroz ulazna vrata.</w:t>
      </w:r>
    </w:p>
    <w:bookmarkStart w:id="48" w:name="a-raspored-otvora-bs-sjednica-crtež-m-01"/>
    <w:p>
      <w:pPr>
        <w:pStyle w:val="Heading4"/>
      </w:pPr>
      <w:r>
        <w:t xml:space="preserve">4.3.A Raspored otvora — BS Sjednica (crtež M-01)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SJEVEROISTOČNI (SI) zid, jugoistočni kraj</w:t>
            </w:r>
            <w:r>
              <w:t xml:space="preserve">; donja ivica +0,30 m od poda. SI strana je zasjenjena i daje najhladniji usisni zrak; žaluzina se postavlja jugoistočno od vanjskih ormara ICC360-HA1-C1/MTS9302A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Kanal hladnjaka + izlazna žaluzina 600 × 600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SJEVEROZAPADNI (SZ) zid</w:t>
            </w:r>
            <w:r>
              <w:t xml:space="preserve">, na osi hladnjaka agregata; kanal najkraćim putem od hladnjaka kroz zid,</w:t>
            </w:r>
            <w:r>
              <w:t xml:space="preserve"> </w:t>
            </w:r>
            <w:r>
              <w:rPr>
                <w:bCs/>
                <w:b/>
              </w:rPr>
              <w:t xml:space="preserve">razvijena površina ≈1,0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Izduv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uz</w:t>
            </w:r>
            <w:r>
              <w:t xml:space="preserve"> </w:t>
            </w:r>
            <w:r>
              <w:rPr>
                <w:bCs/>
                <w:b/>
              </w:rPr>
              <w:t xml:space="preserve">SZ zid</w:t>
            </w:r>
            <w:r>
              <w:t xml:space="preserve">, završetak iznad krova (Tačka 4.4)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JUGOZAPADNI (JZ) zid</w:t>
            </w:r>
            <w:r>
              <w:t xml:space="preserve">, jugoistočni kraj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JUGOISTOČNI (JI) zid</w:t>
            </w:r>
            <w:r>
              <w:t xml:space="preserve">, gore (donja ivica ≈+1,75 m), sjeveroistočno od ulaznih vrata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≥3 m prostorno između usisa zraka, izduva i odušne cijevi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Cs/>
          <w:b/>
        </w:rPr>
        <w:t xml:space="preserve">usis SI → agregat → izlaz SZ</w:t>
      </w:r>
      <w:r>
        <w:t xml:space="preserve">. Nije dozvoljeno usmjeriti topli</w:t>
      </w:r>
      <w:r>
        <w:t xml:space="preserve"> </w:t>
      </w:r>
      <w:r>
        <w:t xml:space="preserve">zrak ili izduv prema SI strani, gdje su vanjski ormari i usis svježeg zraka.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5 — BS Sjednica: raspored opreme i otvora u kontejneru, crtež M-01 (Prilog III)" title="" id="46" name="Picture"/>
            <a:graphic>
              <a:graphicData uri="http://schemas.openxmlformats.org/drawingml/2006/picture">
                <pic:pic>
                  <pic:nvPicPr>
                    <pic:cNvPr descr="../TD-OUTPUT/grafika/prilog1/m01-raspore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 — BS Sjednica: raspored opreme i otvora u kontejneru, crtež M-01 (Prilog III)</w:t>
      </w:r>
    </w:p>
    <w:bookmarkEnd w:id="48"/>
    <w:bookmarkStart w:id="52" w:name="b-raspored-otvora-bs-hamzići-crtež-h-04"/>
    <w:p>
      <w:pPr>
        <w:pStyle w:val="Heading4"/>
      </w:pPr>
      <w:r>
        <w:t xml:space="preserve">4.3.B Raspored otvora — BS Hamzići (crtež H-04)</w:t>
      </w:r>
    </w:p>
    <w:p>
      <w:pPr>
        <w:pStyle w:val="FirstParagraph"/>
      </w:pPr>
      <w:r>
        <w:t xml:space="preserve">Izlaz toplog zraka hladnjaka ide kroz</w:t>
      </w:r>
      <w:r>
        <w:t xml:space="preserve"> </w:t>
      </w:r>
      <w:r>
        <w:rPr>
          <w:bCs/>
          <w:b/>
        </w:rPr>
        <w:t xml:space="preserve">postojeće otvore klima-uređaja Stulz</w:t>
      </w:r>
      <w:r>
        <w:t xml:space="preserve"> </w:t>
      </w:r>
      <w:r>
        <w:t xml:space="preserve">u</w:t>
      </w:r>
      <w:r>
        <w:t xml:space="preserve"> </w:t>
      </w:r>
      <w:r>
        <w:t xml:space="preserve">sredini jugoistočnog (JI) zida (Tačka 4.8). Projekat klimatizacije iz 2017. predviđa dva otvora</w:t>
      </w:r>
      <w:r>
        <w:t xml:space="preserve"> </w:t>
      </w:r>
      <w:r>
        <w:t xml:space="preserve">300 × 700 mm; stvarne otvore ugrađenog uređaja Ponuđač mjeri pri obilasku.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SJEVEROISTOČNI (SI) zid</w:t>
            </w:r>
            <w:r>
              <w:t xml:space="preserve">, novi otvor uz alternator (SZ kraj agregata), neposredno jugoistočno od korita spremnika; donja ivica +0,30 m od poda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Plenum hladnjaka + izlaz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JUGOISTOČNI (JI) zid, u sredini</w:t>
            </w:r>
            <w:r>
              <w:t xml:space="preserve"> </w:t>
            </w:r>
            <w:r>
              <w:t xml:space="preserve">— kroz postojeće otvore klima-uređaja Stulz, spojene/proširene na</w:t>
            </w:r>
            <w:r>
              <w:t xml:space="preserve"> </w:t>
            </w:r>
            <w:r>
              <w:rPr>
                <w:bCs/>
                <w:b/>
              </w:rPr>
              <w:t xml:space="preserve">≥0,36 m² bruto</w:t>
            </w:r>
            <w:r>
              <w:t xml:space="preserve">, sa fiksnom žaluzinom; nekorišteni dio otvora zatvara se sendvič panelom 60 mm iste izvedbe kao zid; plenum od pocinčanog lima, razvijena površina ≈1,5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vani na JI zidu, 700 × 600 mm, od pocinčanog lima, zatvorenih bočnih strana i dna, sa rešetkom na vrhu (≈+1,30 m): topli zrak ide</w:t>
            </w:r>
            <w:r>
              <w:t xml:space="preserve"> </w:t>
            </w:r>
            <w:r>
              <w:rPr>
                <w:bCs/>
                <w:b/>
              </w:rPr>
              <w:t xml:space="preserve">NAVIŠE</w:t>
            </w:r>
            <w:r>
              <w:t xml:space="preserve">, dalje od FN polja (JZ strana) i od ormara Huawei; ≥1,0 m od nogu stuba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Izduv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 JZ prolaza kroz</w:t>
            </w:r>
            <w:r>
              <w:t xml:space="preserve"> </w:t>
            </w:r>
            <w:r>
              <w:rPr>
                <w:bCs/>
                <w:b/>
              </w:rPr>
              <w:t xml:space="preserve">JUGOISTOČNI (JI) zid</w:t>
            </w:r>
            <w:r>
              <w:t xml:space="preserve">, jugozapadno od haube, horizontalno na ≈+2,30 m, ispod platforme stuba; prigušivač u JZ prolazu; završetak ≥0,40 m od zida (Tačka 4.4)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duža osa</w:t>
            </w:r>
            <w:r>
              <w:t xml:space="preserve"> </w:t>
            </w:r>
            <w:r>
              <w:rPr>
                <w:bCs/>
                <w:b/>
              </w:rPr>
              <w:t xml:space="preserve">SZ–JI</w:t>
            </w:r>
            <w:r>
              <w:t xml:space="preserve">, u sredini kontejnera, hladnjak na JI; prolazi po 0,78 m na SI i JZ strani (u JZ prolazu su izduv i prigušivač), SZ kraj 0,97 m do GRO — Ponuđač potvrđuje da su servisne tačke agregata dostupne sa SI strane i SZ kraja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Spremnik 500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  <w:r>
              <w:t xml:space="preserve"> </w:t>
            </w:r>
            <w:r>
              <w:rPr>
                <w:bCs/>
                <w:b/>
              </w:rPr>
              <w:t xml:space="preserve">SJEVERNOM uglu</w:t>
            </w:r>
            <w:r>
              <w:t xml:space="preserve"> </w:t>
            </w:r>
            <w:r>
              <w:t xml:space="preserve">(SZ × SI zid, prema pravom sjeveru — Naručilac 11.09.2026), uz SZ kraj agregata; od vrata do korita ostaje 0,945 m slobodnog prolaza za unos agregata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principijelno kroz</w:t>
            </w:r>
            <w:r>
              <w:t xml:space="preserve"> </w:t>
            </w:r>
            <w:r>
              <w:rPr>
                <w:bCs/>
                <w:b/>
              </w:rPr>
              <w:t xml:space="preserve">SJEVEROZAPADNI (SZ) zid</w:t>
            </w:r>
            <w:r>
              <w:t xml:space="preserve">, sjeveroistočno od ulaznih vrata, pa stojećom cijevi između kontejnera i SZ ograde, izvan krila vrata, završetak na +2,80 m; ≥3 m od završetka izduva i od usisne žaluzine, ≥1 m od ormara Huawei; konačno prema elaboratu zaštite od požara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JUGOISTOČNI (JI) zid</w:t>
            </w:r>
            <w:r>
              <w:t xml:space="preserve">, gore, sjeveroistočno od haube;</w:t>
            </w:r>
            <w:r>
              <w:t xml:space="preserve"> </w:t>
            </w:r>
            <w:r>
              <w:rPr>
                <w:bCs/>
                <w:b/>
              </w:rPr>
              <w:t xml:space="preserve">izvlačni</w:t>
            </w:r>
            <w:r>
              <w:t xml:space="preserve"> </w:t>
            </w:r>
            <w:r>
              <w:t xml:space="preserve">(izbacuje zrak iz prostora)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SJEVEROZAPADNI (SZ) zid</w:t>
            </w:r>
            <w:r>
              <w:t xml:space="preserve">, jugozapadno od ulaznih vrata; raspoloživi zid je 0,595 m, pa je</w:t>
            </w:r>
            <w:r>
              <w:t xml:space="preserve"> </w:t>
            </w:r>
            <w:r>
              <w:rPr>
                <w:bCs/>
                <w:b/>
              </w:rPr>
              <w:t xml:space="preserve">širina GRO ≤0,50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 razvod −48 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SZ zid</w:t>
            </w:r>
            <w:r>
              <w:t xml:space="preserve">, sjeveroistočno od ulaznih vrata, iznad spremnika (≈300 × 200 × 150 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Huawei ICC360-HA1-C1 i MTS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vanjski ormari na ploči sa JZ strane kontejnera, između dvije JZ noge stuba, iza FN polja i u njegovoj sjeni; vrata prema kontejneru, 0,85 m slobodno ispred ormara; napajanje iz GRO (izvod F1) i −48 V kroz JZ zid; kratka DC trasa od FN polja do PVDB uz ICC360; tip i mjere MTS potvrđuje Naručilac (principijelno)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≥3 m prostorno između usisne žaluzine, završetka izduva i odušne cijevi (H-04: završetak izduva–usis 3,25 m); izvlačni ventilator je izlazni otvor i ne ulazi u ovaj uslov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Cs/>
          <w:b/>
        </w:rPr>
        <w:t xml:space="preserve">usis SI → agregat → izlaz JI, hauba naviše</w:t>
      </w:r>
      <w:r>
        <w:t xml:space="preserve">; hladnjak agregata je</w:t>
      </w:r>
      <w:r>
        <w:t xml:space="preserve"> </w:t>
      </w:r>
      <w:r>
        <w:t xml:space="preserve">uz JI zid, na mjestu otvora klima-uređaja, a hauba topli zrak usmjerava naviše. Izduv</w:t>
      </w:r>
      <w:r>
        <w:t xml:space="preserve"> </w:t>
      </w:r>
      <w:r>
        <w:t xml:space="preserve">izlazi na JI strani, jugozapadno od haube, dalje od ulaznih vrata (SZ), od usisa (SI) i</w:t>
      </w:r>
      <w:r>
        <w:t xml:space="preserve"> </w:t>
      </w:r>
      <w:r>
        <w:t xml:space="preserve">od ormara (JZ). Mjere otvora Stulz se uzimaju pri obilasku, pa je raspored na crtežu H-04 principijelan —</w:t>
      </w:r>
      <w:r>
        <w:t xml:space="preserve"> </w:t>
      </w:r>
      <w:r>
        <w:t xml:space="preserve">Ponuđač ga potvrđuje na licu mjesta.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6 — BS Hamzići: raspored opreme i otvora u kontejneru, crtež H-04 (Prilog III)" title="" id="50" name="Picture"/>
            <a:graphic>
              <a:graphicData uri="http://schemas.openxmlformats.org/drawingml/2006/picture">
                <pic:pic>
                  <pic:nvPicPr>
                    <pic:cNvPr descr="../TD-OUTPUT/grafika/prilog1/h04-raspore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 — BS Hamzići: raspored opreme i otvora u kontejneru, crtež H-04 (Prilog III)</w:t>
      </w:r>
    </w:p>
    <w:bookmarkEnd w:id="52"/>
    <w:bookmarkEnd w:id="53"/>
    <w:bookmarkStart w:id="54" w:name="izduvni-sistem"/>
    <w:p>
      <w:pPr>
        <w:pStyle w:val="Heading3"/>
      </w:pPr>
      <w:r>
        <w:t xml:space="preserve">4.4 Izduvni sistem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 izduvnih gasova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 m³/h (3,2 m³/min) pri 413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Maks. dozvoljeni protutlak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10,2 kPa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Dijametar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50</w:t>
            </w:r>
            <w:r>
              <w:t xml:space="preserve"> </w:t>
            </w:r>
            <w:r>
              <w:t xml:space="preserve">— pri 192 m³/h i 413 °C brzina je 27,2 m/s (&lt; 30 m/s), protutlak ≈1,9 kPa (Sjednica) i ≈1,6 kPa (Hamzići) uz dozvoljenih 10,2 kPa. Prečnik određuje brzina, ne protutlak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Prigušivač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industrijski;</w:t>
            </w:r>
            <w:r>
              <w:t xml:space="preserve"> </w:t>
            </w:r>
            <w:r>
              <w:rPr>
                <w:bCs/>
                <w:b/>
              </w:rPr>
              <w:t xml:space="preserve">hvatač iskri obavezan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Fleksibilni priključak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neposredno iza motora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Izolacija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kamena vuna d = 50 mm + Al lim d = 1 mm; boja otporna na 600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Provjera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Ponuđač dostavlja proračun protutlaka za svaku lokaciju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505"/>
        <w:gridCol w:w="2891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Trasa i završetak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Sjednica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 od elastičnog umetka do prigušivača sa jednim lukom 90°; do 4 m od prigušivača do izlaza, uspon uz</w:t>
            </w:r>
            <w:r>
              <w:t xml:space="preserve"> </w:t>
            </w:r>
            <w:r>
              <w:rPr>
                <w:bCs/>
                <w:b/>
              </w:rPr>
              <w:t xml:space="preserve">SZ zid</w:t>
            </w:r>
            <w:r>
              <w:t xml:space="preserve"> </w:t>
            </w:r>
            <w:r>
              <w:t xml:space="preserve">kontejnera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 m do prigušivača u JZ prolazu, zatim ≈1,5 m do</w:t>
            </w:r>
            <w:r>
              <w:t xml:space="preserve"> </w:t>
            </w:r>
            <w:r>
              <w:rPr>
                <w:bCs/>
                <w:b/>
              </w:rPr>
              <w:t xml:space="preserve">JI zida</w:t>
            </w:r>
            <w:r>
              <w:t xml:space="preserve"> </w:t>
            </w:r>
            <w:r>
              <w:t xml:space="preserve">i horizontalno kroz njega na visini ≈+2,30 m, sa termoizolacionom čahurom u prolazu kroz zid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Završetak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iznad krova, usmjeren naviše</w:t>
            </w:r>
            <w:r>
              <w:t xml:space="preserve">, sa kapom protiv upada padavina, ≥3 m od usisa zraka i odušne cijevi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horizontalno, usmjeren na JI</w:t>
            </w:r>
            <w:r>
              <w:t xml:space="preserve">, ≥0,40 m od zida, ispod platforme stuba (+3,0 m) koja je iznad krova kontejnera — završetak iznad krova nije moguć; kapa protiv padavina, ≥3 m od usisa zraka i odušne cijevi; ne usmjeravati na noge stuba ni kablove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Izolacija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≈3,0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≈2,5 m²</w:t>
            </w:r>
          </w:p>
        </w:tc>
      </w:tr>
    </w:tbl>
    <w:bookmarkEnd w:id="54"/>
    <w:bookmarkStart w:id="55" w:name="elektroinstalacije-i-zaštite"/>
    <w:p>
      <w:pPr>
        <w:pStyle w:val="Heading3"/>
      </w:pPr>
      <w:r>
        <w:t xml:space="preserve">4.5 Elektroinstalacije i zaštite</w:t>
      </w:r>
    </w:p>
    <w:p>
      <w:pPr>
        <w:pStyle w:val="FirstParagraph"/>
      </w:pPr>
      <w:r>
        <w:t xml:space="preserve">Zahtijeva se</w:t>
      </w:r>
      <w:r>
        <w:t xml:space="preserve"> </w:t>
      </w:r>
      <w:r>
        <w:rPr>
          <w:bCs/>
          <w:b/>
        </w:rPr>
        <w:t xml:space="preserve">NEZAVISNA POBUDA</w:t>
      </w:r>
      <w:r>
        <w:t xml:space="preserve"> </w:t>
      </w:r>
      <w:r>
        <w:t xml:space="preserve">generatora (PMG ili AREP/AUX) sa 3 × In u trajanju</w:t>
      </w:r>
      <w:r>
        <w:t xml:space="preserve"> </w:t>
      </w:r>
      <w:r>
        <w:t xml:space="preserve">≥10 s (Tačka 4.1), kao i zaštita zaštitnom strujnom sklopkom (RCD) kao glavnim</w:t>
      </w:r>
      <w:r>
        <w:t xml:space="preserve"> </w:t>
      </w:r>
      <w:r>
        <w:t xml:space="preserve">sredstvom zaštite od indirektnog dodira.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Nazivna struja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 = 26,0 A</w:t>
            </w:r>
            <w:r>
              <w:t xml:space="preserve"> </w:t>
            </w:r>
            <w:r>
              <w:t xml:space="preserve">pri 18 kVA / 400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Struja kvara (SHUNT)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prva poluperioda ≈333 A (12,8 × In) → prelazna ≈169 A (6,5 × In) →</w:t>
            </w:r>
            <w:r>
              <w:t xml:space="preserve"> </w:t>
            </w:r>
            <w:r>
              <w:rPr>
                <w:bCs/>
                <w:b/>
              </w:rPr>
              <w:t xml:space="preserve">TRAJNA ≈13 A (0,5 × In)</w:t>
            </w:r>
            <w:r>
              <w:t xml:space="preserve"> </w:t>
            </w:r>
            <w:r>
              <w:t xml:space="preserve">— ne aktivira zaštitu (</w:t>
            </w:r>
            <w:r>
              <w:rPr>
                <w:bCs/>
                <w:b/>
              </w:rPr>
              <w:t xml:space="preserve">ne zadovoljava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Struja kvara (PMG/AREP)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≥78 A (3 × In) trajno ≥10 s — ZAHTIJEVANO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 zaštite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TN-S, jedinstvena tačka spajanja N i PE u novom GRO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Glavna zaštita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4p RCD 63 A / 300 mA, S-tip (selektivna)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Krajnji strujni krugovi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RCBO 16 A / 30 mA, tip A (utičnice, rasvjeta)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Sklopka izvora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4p 63 A, položaji 1 – agregat / 0 – isključeno / 2 – rezerva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SPD, AC strana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 1 + 2</w:t>
            </w:r>
            <w:r>
              <w:t xml:space="preserve"> </w:t>
            </w:r>
            <w:r>
              <w:t xml:space="preserve">(Iimp ≥12,5 kA) — objekti imaju vanjski LPS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SPD, DC strana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 2 po stringu (Iimp ≥5 kA, Ucpv ≥425 V), na PVDB i na polju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SPD, signalni vodovi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 EN 61643-21 (obavezno za stubove h = 38 m i h = 32 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 kablovi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bezhalogeni, CPR ≥ Cca-s1b,d1,a1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 kablovi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H1Z2Z2-K 6 mm²; priključak na iSSU presjekom 4 mm²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≤10 Ω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505"/>
        <w:gridCol w:w="2891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Postojeće stanje i novi 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Sjednica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Postojeći strujni krugovi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snimiti stanje i prevezati postojeće krugove u novi GRO; signalna rasvjeta antenskog stuba (K7) prelazi na DC razvod −48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kontejner je</w:t>
            </w:r>
            <w:r>
              <w:t xml:space="preserve"> </w:t>
            </w:r>
            <w:r>
              <w:rPr>
                <w:bCs/>
                <w:b/>
              </w:rPr>
              <w:t xml:space="preserve">prazan — nema GRO ni krugova</w:t>
            </w:r>
            <w:r>
              <w:t xml:space="preserve">: nova rasvjeta (2 LED svjetiljke IP65 ≥1500 lm; jedna je za 48 V DC na DC razvodu, pa je svjetlo dostupno i kad agregat ne radi), 2 utičnice 230 V/16 A IP44, kablovi u kanalicama; postojeća svjetiljka za obilježavanje stuba prelazi na DC razvod −48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Klima-uređaj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bez kruga za klima-uređaj</w:t>
            </w:r>
            <w:r>
              <w:t xml:space="preserve"> </w:t>
            </w:r>
            <w:r>
              <w:t xml:space="preserve">(demontira se, Tačka 4.8)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Smještaj 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zid, uz vanjske ormare koje napaja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SZ zid, jugozapadno od ulaznih vrata;</w:t>
            </w:r>
            <w:r>
              <w:t xml:space="preserve"> </w:t>
            </w:r>
            <w:r>
              <w:rPr>
                <w:bCs/>
                <w:b/>
              </w:rPr>
              <w:t xml:space="preserve">širina ≤0,50 m</w:t>
            </w:r>
            <w:r>
              <w:t xml:space="preserve"> </w:t>
            </w:r>
            <w:r>
              <w:t xml:space="preserve">(raspoloživi zid 0,595 m); ormari Huawei su vani, na JZ strani (Tačka 4.3.B)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Grafički prilog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H-05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Trajni potrošači — napajanje sa −48 V DC (obje lokacije).</w:t>
      </w:r>
      <w:r>
        <w:t xml:space="preserve"> </w:t>
      </w:r>
      <w:r>
        <w:t xml:space="preserve">Agregat je jedini izvor</w:t>
      </w:r>
      <w:r>
        <w:t xml:space="preserve"> </w:t>
      </w:r>
      <w:r>
        <w:t xml:space="preserve">izmjeničnog napona: izvodi GRO (rasvjeta, utičnice, pomoćni potrošači agregata, napajanje</w:t>
      </w:r>
      <w:r>
        <w:t xml:space="preserve"> </w:t>
      </w:r>
      <w:r>
        <w:t xml:space="preserve">ispravljača) su pod naponom samo dok agregat radi. Potrošači koji moraju raditi i kad</w:t>
      </w:r>
      <w:r>
        <w:t xml:space="preserve"> </w:t>
      </w:r>
      <w:r>
        <w:t xml:space="preserve">agregat ne radi napajaju se sa −48 V DC iz ormara Huawei ICC360-HA1-C1 — sa slobodnog DC</w:t>
      </w:r>
      <w:r>
        <w:t xml:space="preserve"> </w:t>
      </w:r>
      <w:r>
        <w:t xml:space="preserve">izvoda sa vlastitim zaštitnim prekidačem — preko novog</w:t>
      </w:r>
      <w:r>
        <w:t xml:space="preserve"> </w:t>
      </w:r>
      <w:r>
        <w:rPr>
          <w:bCs/>
          <w:b/>
        </w:rPr>
        <w:t xml:space="preserve">DC razvoda −48 V</w:t>
      </w:r>
      <w:r>
        <w:t xml:space="preserve"> </w:t>
      </w:r>
      <w:r>
        <w:t xml:space="preserve">u kontejneru: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Potrošač na DC razvodu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Svjetiljka za obilježavanje antenskog stuba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za 48 V DC, niskog intenziteta, sa foto-senzorom i nadzorom ispada prema SMU, umjesto postojeće svjetiljke; ili postojeća svjetiljka preko DC/AC pretvarača ≤100 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Vatrodojavna centrala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preko DC/DC pretvarača na nazivni napon centrale; centrala zadržava vlastite akumulatore prema EN 54-4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Punjač akumulatora za start agregata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DC/DC 48 V → 12/24 V prema agregatu, sa strujnim ograničenjem i signalizacijom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V DC (EC), Tačka 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Predgrijač rashladne tečnosti agregata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 — direktno 48 V ili preko DC/DC odgovarajuće snage; uključuje ga kontroler agregata samo za kratko predgrijavanje prije starta pri niskoj temperaturi (Tačka 4.1), ne radi trajno; ≈0,1 kWh po startu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Rasvjeta kontejnera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najmanje jedna LED svjetiljka 48 V DC sa prekidačem uz vrata — svjetlo i kad agregat ne radi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Ukupna trajna potrošnja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≤25 W prosječno</w:t>
            </w:r>
            <w:r>
              <w:t xml:space="preserve"> </w:t>
            </w:r>
            <w:r>
              <w:t xml:space="preserve">(bez rasvjete kontejnera, koja radi samo pri obilasku); Ponuđač dostavlja proračun potrošnje. Energetski bilans (Tačka 8) računa sa 45 W pomoćne potrošnje na −48 V: 20 W za SMU, BMS i ispravljače u mirovanju i 25 W za trajne potrošače</w:t>
            </w:r>
          </w:p>
        </w:tc>
      </w:tr>
    </w:tbl>
    <w:bookmarkEnd w:id="55"/>
    <w:bookmarkStart w:id="56" w:name="Xffc65aa8ef0639ad90862f5a47788725682a937"/>
    <w:p>
      <w:pPr>
        <w:pStyle w:val="Heading3"/>
      </w:pPr>
      <w:r>
        <w:t xml:space="preserve">4.6 Parametriranje upravljanja i nadzora (DEA + PV + baterije)</w:t>
      </w:r>
    </w:p>
    <w:p>
      <w:pPr>
        <w:numPr>
          <w:ilvl w:val="0"/>
          <w:numId w:val="1003"/>
        </w:numPr>
        <w:pStyle w:val="Compact"/>
      </w:pPr>
      <w:r>
        <w:t xml:space="preserve">start agregata prema</w:t>
      </w:r>
      <w:r>
        <w:t xml:space="preserve"> </w:t>
      </w:r>
      <w:r>
        <w:rPr>
          <w:bCs/>
          <w:b/>
        </w:rPr>
        <w:t xml:space="preserve">stanju napunjenosti baterija (SoC)</w:t>
      </w:r>
      <w:r>
        <w:t xml:space="preserve">, a ne prema ispadu mreže</w:t>
      </w:r>
      <w:r>
        <w:t xml:space="preserve"> </w:t>
      </w:r>
      <w:r>
        <w:t xml:space="preserve">— lokacije nemaju priključak EES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ograničenje ulazne snage ispravljačkog sistema na maks. 9,5 kW dok agregat radi.</w:t>
      </w:r>
      <w:r>
        <w:t xml:space="preserve"> </w:t>
      </w:r>
      <w:r>
        <w:t xml:space="preserve">Derativana prime snaga agregata je 11,6 kW na Sjednici i 12,3 kW na Hamzićima, a</w:t>
      </w:r>
      <w:r>
        <w:t xml:space="preserve"> </w:t>
      </w:r>
      <w:r>
        <w:t xml:space="preserve">neograničen ispravljački sistem vuče ≈12,5 kW. Granica ujedno drži agregat iznad 30 %</w:t>
      </w:r>
      <w:r>
        <w:t xml:space="preserve"> </w:t>
      </w:r>
      <w:r>
        <w:t xml:space="preserve">opterećenja i sprječava mokri rad motora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parametriranje SMU za minimalan rad agregata (OBAVEZNO)</w:t>
      </w:r>
      <w:r>
        <w:t xml:space="preserve"> </w:t>
      </w:r>
      <w:r>
        <w:t xml:space="preserve">— dokazuje se protokolom</w:t>
      </w:r>
      <w:r>
        <w:t xml:space="preserve"> </w:t>
      </w:r>
      <w:r>
        <w:t xml:space="preserve">iz Tačke 5, stavka 12:</w:t>
      </w:r>
    </w:p>
    <w:p>
      <w:pPr>
        <w:numPr>
          <w:ilvl w:val="1"/>
          <w:numId w:val="1004"/>
        </w:numPr>
        <w:pStyle w:val="Compact"/>
      </w:pPr>
      <w:r>
        <w:t xml:space="preserve">start agregata pri dubini pražnjenja baterija</w:t>
      </w:r>
      <w:r>
        <w:t xml:space="preserve"> </w:t>
      </w:r>
      <w:r>
        <w:rPr>
          <w:bCs/>
          <w:b/>
        </w:rPr>
        <w:t xml:space="preserve">DOD 85 %</w:t>
      </w:r>
      <w:r>
        <w:t xml:space="preserve"> </w:t>
      </w:r>
      <w:r>
        <w:t xml:space="preserve">(SoC 15 %)</w:t>
      </w:r>
    </w:p>
    <w:p>
      <w:pPr>
        <w:numPr>
          <w:ilvl w:val="1"/>
          <w:numId w:val="1004"/>
        </w:numPr>
        <w:pStyle w:val="Compact"/>
      </w:pPr>
      <w:r>
        <w:t xml:space="preserve">zaustavljanje agregata pri</w:t>
      </w:r>
      <w:r>
        <w:t xml:space="preserve"> </w:t>
      </w:r>
      <w:r>
        <w:rPr>
          <w:bCs/>
          <w:b/>
        </w:rPr>
        <w:t xml:space="preserve">SoC 60 %</w:t>
      </w:r>
      <w:r>
        <w:t xml:space="preserve"> </w:t>
      </w:r>
      <w:r>
        <w:t xml:space="preserve">— ostatak punjenja preuzima fotonaponsko</w:t>
      </w:r>
      <w:r>
        <w:t xml:space="preserve"> </w:t>
      </w:r>
      <w:r>
        <w:t xml:space="preserve">polje; punjenje baterija agregatom do vrha povećava rad agregata za 10–16 %</w:t>
      </w:r>
    </w:p>
    <w:p>
      <w:pPr>
        <w:numPr>
          <w:ilvl w:val="1"/>
          <w:numId w:val="1004"/>
        </w:numPr>
        <w:pStyle w:val="Compact"/>
      </w:pPr>
      <w:r>
        <w:t xml:space="preserve">struja punjenja baterija podešena tako da ne ograničava agregat ispod 9,5 kW: na</w:t>
      </w:r>
      <w:r>
        <w:t xml:space="preserve"> </w:t>
      </w:r>
      <w:r>
        <w:t xml:space="preserve">najveću vrijednost koju dozvoljava BMS baterijskih modula (proračun pretpostavlja</w:t>
      </w:r>
      <w:r>
        <w:t xml:space="preserve"> </w:t>
      </w:r>
      <w:r>
        <w:t xml:space="preserve">0,5 C), uz pisanu potvrdu proizvođača</w:t>
      </w:r>
    </w:p>
    <w:p>
      <w:pPr>
        <w:numPr>
          <w:ilvl w:val="1"/>
          <w:numId w:val="1004"/>
        </w:numPr>
        <w:pStyle w:val="Compact"/>
      </w:pPr>
      <w:r>
        <w:t xml:space="preserve">najkraće vrijeme rada agregata po startu</w:t>
      </w:r>
      <w:r>
        <w:t xml:space="preserve"> </w:t>
      </w:r>
      <w:r>
        <w:rPr>
          <w:bCs/>
          <w:b/>
        </w:rPr>
        <w:t xml:space="preserve">1 h</w:t>
      </w:r>
    </w:p>
    <w:p>
      <w:pPr>
        <w:numPr>
          <w:ilvl w:val="0"/>
          <w:numId w:val="1003"/>
        </w:numPr>
        <w:pStyle w:val="Compact"/>
      </w:pPr>
      <w:r>
        <w:t xml:space="preserve">prijenos alarma u sistem daljinskog nadzora: rad agregata, kvar, nivo goriva,</w:t>
      </w:r>
      <w:r>
        <w:t xml:space="preserve"> </w:t>
      </w:r>
      <w:r>
        <w:t xml:space="preserve">curenje goriva, požar, temperatura prostora</w:t>
      </w:r>
    </w:p>
    <w:p>
      <w:pPr>
        <w:numPr>
          <w:ilvl w:val="0"/>
          <w:numId w:val="1003"/>
        </w:numPr>
        <w:pStyle w:val="Compact"/>
      </w:pPr>
      <w:r>
        <w:t xml:space="preserve">upravljačka jedinica kompatibilna sa postojećim sistemom napajanja (modul GIM01C1,</w:t>
      </w:r>
      <w:r>
        <w:t xml:space="preserve"> </w:t>
      </w:r>
      <w:r>
        <w:t xml:space="preserve">AC ulazni modul AIU03)</w:t>
      </w:r>
    </w:p>
    <w:bookmarkEnd w:id="56"/>
    <w:bookmarkStart w:id="57" w:name="zaštita-od-požara"/>
    <w:p>
      <w:pPr>
        <w:pStyle w:val="Heading3"/>
      </w:pPr>
      <w:r>
        <w:t xml:space="preserve">4.7 Zaštita od požara</w:t>
      </w:r>
    </w:p>
    <w:p>
      <w:pPr>
        <w:numPr>
          <w:ilvl w:val="0"/>
          <w:numId w:val="1005"/>
        </w:numPr>
        <w:pStyle w:val="Compact"/>
      </w:pPr>
      <w:r>
        <w:t xml:space="preserve">elaborat zaštite od požara za prostor sa 500 l dizel goriva, za svaku lokaciju —</w:t>
      </w:r>
      <w:r>
        <w:t xml:space="preserve"> </w:t>
      </w:r>
      <w:r>
        <w:t xml:space="preserve">tokom primopredaje</w:t>
      </w:r>
    </w:p>
    <w:p>
      <w:pPr>
        <w:numPr>
          <w:ilvl w:val="0"/>
          <w:numId w:val="1005"/>
        </w:numPr>
        <w:pStyle w:val="Compact"/>
      </w:pPr>
      <w:r>
        <w:t xml:space="preserve">detekcija: dimni i termički detektori; detekcija CO i NO₂</w:t>
      </w:r>
    </w:p>
    <w:p>
      <w:pPr>
        <w:numPr>
          <w:ilvl w:val="0"/>
          <w:numId w:val="1005"/>
        </w:numPr>
        <w:pStyle w:val="Compact"/>
      </w:pPr>
      <w:r>
        <w:t xml:space="preserve">automatsko gašenje sredstvom za klasu B, sa</w:t>
      </w:r>
      <w:r>
        <w:t xml:space="preserve"> </w:t>
      </w:r>
      <w:r>
        <w:rPr>
          <w:bCs/>
          <w:b/>
        </w:rPr>
        <w:t xml:space="preserve">blokadom ventilacije pri aktivaciji</w:t>
      </w:r>
    </w:p>
    <w:p>
      <w:pPr>
        <w:numPr>
          <w:ilvl w:val="0"/>
          <w:numId w:val="1005"/>
        </w:numPr>
        <w:pStyle w:val="Compact"/>
      </w:pPr>
      <w:r>
        <w:t xml:space="preserve">protupožarni ventil na izlazu iz spremnika</w:t>
      </w:r>
    </w:p>
    <w:p>
      <w:pPr>
        <w:numPr>
          <w:ilvl w:val="0"/>
          <w:numId w:val="1005"/>
        </w:numPr>
        <w:pStyle w:val="Compact"/>
      </w:pPr>
      <w:r>
        <w:t xml:space="preserve">E-STOP izvan kontejnera pored ulaznih vrata, prema ISO 13850 kategorija 0</w:t>
      </w:r>
    </w:p>
    <w:p>
      <w:pPr>
        <w:numPr>
          <w:ilvl w:val="0"/>
          <w:numId w:val="1005"/>
        </w:numPr>
        <w:pStyle w:val="Compact"/>
      </w:pPr>
      <w:r>
        <w:t xml:space="preserve">oznake opasnosti, zabrana pušenja, oznaka kapaciteta goriva</w:t>
      </w:r>
    </w:p>
    <w:p>
      <w:pPr>
        <w:numPr>
          <w:ilvl w:val="0"/>
          <w:numId w:val="1005"/>
        </w:numPr>
        <w:pStyle w:val="Compact"/>
      </w:pPr>
      <w:r>
        <w:t xml:space="preserve">najmanje dva aparata za gašenje odgovarajuće klase</w:t>
      </w:r>
    </w:p>
    <w:p>
      <w:pPr>
        <w:pStyle w:val="FirstParagraph"/>
      </w:pPr>
      <w:r>
        <w:t xml:space="preserve">Elaborat zaštite od požara, protupožarni ventil na spremniku i blokada ventilacije pri</w:t>
      </w:r>
      <w:r>
        <w:t xml:space="preserve"> </w:t>
      </w:r>
      <w:r>
        <w:t xml:space="preserve">aktivaciji gašenja</w:t>
      </w:r>
      <w:r>
        <w:t xml:space="preserve"> </w:t>
      </w:r>
      <w:r>
        <w:rPr>
          <w:bCs/>
          <w:b/>
        </w:rPr>
        <w:t xml:space="preserve">zasebno su iskazani u Prilogu II</w:t>
      </w:r>
      <w:r>
        <w:t xml:space="preserve">.</w:t>
      </w:r>
    </w:p>
    <w:bookmarkEnd w:id="57"/>
    <w:bookmarkStart w:id="58" w:name="X5edf623f5b8f0b75cc78222c68af359e1c4d838"/>
    <w:p>
      <w:pPr>
        <w:pStyle w:val="Heading3"/>
      </w:pPr>
      <w:r>
        <w:t xml:space="preserve">4.8 Demontaža klima-uređaja Stulz — samo BS Hamzići</w:t>
      </w:r>
    </w:p>
    <w:p>
      <w:pPr>
        <w:numPr>
          <w:ilvl w:val="0"/>
          <w:numId w:val="1006"/>
        </w:numPr>
        <w:pStyle w:val="Compact"/>
      </w:pPr>
      <w:r>
        <w:t xml:space="preserve">postojeći kompaktni zidni klima-uređaj</w:t>
      </w:r>
      <w:r>
        <w:t xml:space="preserve"> </w:t>
      </w:r>
      <w:r>
        <w:rPr>
          <w:bCs/>
          <w:b/>
        </w:rPr>
        <w:t xml:space="preserve">Stulz WDE80</w:t>
      </w:r>
      <w:r>
        <w:t xml:space="preserve"> </w:t>
      </w:r>
      <w:r>
        <w:t xml:space="preserve">(8 kW, rashladni medij R407C) na</w:t>
      </w:r>
      <w:r>
        <w:t xml:space="preserve"> </w:t>
      </w:r>
      <w:r>
        <w:t xml:space="preserve">jugoistočnom (JI) zidu kontejnera, u sredini, se odspaja (230 V AC, 48 V DC, signalizacija) i demontira</w:t>
      </w:r>
      <w:r>
        <w:t xml:space="preserve"> </w:t>
      </w:r>
      <w:r>
        <w:rPr>
          <w:bCs/>
          <w:b/>
        </w:rPr>
        <w:t xml:space="preserve">bez otvaranja rashladnog kruga</w:t>
      </w:r>
    </w:p>
    <w:p>
      <w:pPr>
        <w:numPr>
          <w:ilvl w:val="0"/>
          <w:numId w:val="1006"/>
        </w:numPr>
        <w:pStyle w:val="Compact"/>
      </w:pPr>
      <w:r>
        <w:t xml:space="preserve">uređaj se pakuje za transport, utovara i prevozi u skladište</w:t>
      </w:r>
      <w:r>
        <w:t xml:space="preserve"> </w:t>
      </w:r>
      <w:r>
        <w:rPr>
          <w:bCs/>
          <w:b/>
        </w:rPr>
        <w:t xml:space="preserve">BH Telecom d.d.,</w:t>
      </w:r>
      <w:r>
        <w:rPr>
          <w:bCs/>
          <w:b/>
        </w:rPr>
        <w:t xml:space="preserve"> </w:t>
      </w:r>
      <w:r>
        <w:rPr>
          <w:bCs/>
          <w:b/>
        </w:rPr>
        <w:t xml:space="preserve">Alipašino Polje, Sarajevo</w:t>
      </w:r>
      <w:r>
        <w:t xml:space="preserve">, uz istovar i</w:t>
      </w:r>
      <w:r>
        <w:t xml:space="preserve"> </w:t>
      </w:r>
      <w:r>
        <w:rPr>
          <w:bCs/>
          <w:b/>
        </w:rPr>
        <w:t xml:space="preserve">zapisnik o primopredaji</w:t>
      </w:r>
      <w:r>
        <w:t xml:space="preserve"> </w:t>
      </w:r>
      <w:r>
        <w:t xml:space="preserve">(tip, serijski</w:t>
      </w:r>
      <w:r>
        <w:t xml:space="preserve"> </w:t>
      </w:r>
      <w:r>
        <w:t xml:space="preserve">broj, stanje)</w:t>
      </w:r>
    </w:p>
    <w:p>
      <w:pPr>
        <w:numPr>
          <w:ilvl w:val="0"/>
          <w:numId w:val="1006"/>
        </w:numPr>
        <w:pStyle w:val="Compact"/>
      </w:pPr>
      <w:r>
        <w:t xml:space="preserve">otvori u zidu ostaju za izlaz toplog zraka agregata (Tačka 4.3.B); natpisnu pločicu i</w:t>
      </w:r>
      <w:r>
        <w:t xml:space="preserve"> </w:t>
      </w:r>
      <w:r>
        <w:t xml:space="preserve">mjere otvora Ponuđač očitava pri obilasku lokacije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dokazi-koji-se-dostavljaju"/>
    <w:p>
      <w:pPr>
        <w:pStyle w:val="Heading2"/>
      </w:pPr>
      <w:r>
        <w:t xml:space="preserve">5. Dokazi koji se dostavljaju</w:t>
      </w:r>
    </w:p>
    <w:p>
      <w:pPr>
        <w:pStyle w:val="FirstParagraph"/>
      </w:pPr>
      <w:r>
        <w:t xml:space="preserve">Dokazi koji se dostavljaju</w:t>
      </w:r>
      <w:r>
        <w:t xml:space="preserve"> </w:t>
      </w:r>
      <w:r>
        <w:rPr>
          <w:bCs/>
          <w:b/>
        </w:rPr>
        <w:t xml:space="preserve">uz ponudu</w:t>
      </w:r>
      <w:r>
        <w:t xml:space="preserve"> </w:t>
      </w:r>
      <w:r>
        <w:t xml:space="preserve">nose oznaku</w:t>
      </w:r>
      <w:r>
        <w:t xml:space="preserve"> </w:t>
      </w:r>
      <w:r>
        <w:rPr>
          <w:bCs/>
          <w:b/>
        </w:rPr>
        <w:t xml:space="preserve">PONUDA</w:t>
      </w:r>
      <w:r>
        <w:t xml:space="preserve">; dokazi koji se</w:t>
      </w:r>
      <w:r>
        <w:t xml:space="preserve"> </w:t>
      </w:r>
      <w:r>
        <w:t xml:space="preserve">dostavljaju</w:t>
      </w:r>
      <w:r>
        <w:t xml:space="preserve"> </w:t>
      </w:r>
      <w:r>
        <w:rPr>
          <w:bCs/>
          <w:b/>
        </w:rPr>
        <w:t xml:space="preserve">u toku realizacije</w:t>
      </w:r>
      <w:r>
        <w:t xml:space="preserve"> </w:t>
      </w:r>
      <w:r>
        <w:t xml:space="preserve">nose oznaku</w:t>
      </w:r>
      <w:r>
        <w:t xml:space="preserve"> </w:t>
      </w:r>
      <w:r>
        <w:rPr>
          <w:bCs/>
          <w:b/>
        </w:rPr>
        <w:t xml:space="preserve">REALIZACIJA</w:t>
      </w:r>
      <w:r>
        <w:t xml:space="preserve">; dokazi koji se</w:t>
      </w:r>
      <w:r>
        <w:t xml:space="preserve"> </w:t>
      </w:r>
      <w:r>
        <w:t xml:space="preserve">dostavljaju komisiji</w:t>
      </w:r>
      <w:r>
        <w:t xml:space="preserve"> </w:t>
      </w:r>
      <w:r>
        <w:rPr>
          <w:bCs/>
          <w:b/>
        </w:rPr>
        <w:t xml:space="preserve">tokom primopredaje</w:t>
      </w:r>
      <w:r>
        <w:t xml:space="preserve"> </w:t>
      </w:r>
      <w:r>
        <w:t xml:space="preserve">nose oznaku</w:t>
      </w:r>
      <w:r>
        <w:t xml:space="preserve"> </w:t>
      </w:r>
      <w:r>
        <w:rPr>
          <w:bCs/>
          <w:b/>
        </w:rPr>
        <w:t xml:space="preserve">PRIMOPREDAJA</w:t>
      </w:r>
      <w:r>
        <w:t xml:space="preserve">; dokazi koji</w:t>
      </w:r>
      <w:r>
        <w:t xml:space="preserve"> </w:t>
      </w:r>
      <w:r>
        <w:t xml:space="preserve">moraju biti pregledani i odobreni</w:t>
      </w:r>
      <w:r>
        <w:t xml:space="preserve"> </w:t>
      </w:r>
      <w:r>
        <w:rPr>
          <w:bCs/>
          <w:b/>
        </w:rPr>
        <w:t xml:space="preserve">prije početka izvođenja radova</w:t>
      </w:r>
      <w:r>
        <w:t xml:space="preserve"> </w:t>
      </w:r>
      <w:r>
        <w:t xml:space="preserve">nose oznaku</w:t>
      </w:r>
      <w:r>
        <w:t xml:space="preserve"> </w:t>
      </w:r>
      <w:r>
        <w:rPr>
          <w:bCs/>
          <w:b/>
        </w:rPr>
        <w:t xml:space="preserve">POČETAK RADOVA</w:t>
      </w:r>
      <w:r>
        <w:t xml:space="preserve">. Dokazi iz realizacije i primopredaje dostavljaju se</w:t>
      </w:r>
      <w:r>
        <w:t xml:space="preserve"> </w:t>
      </w:r>
      <w:r>
        <w:rPr>
          <w:bCs/>
          <w:b/>
        </w:rPr>
        <w:t xml:space="preserve">za svaku</w:t>
      </w:r>
      <w:r>
        <w:rPr>
          <w:bCs/>
          <w:b/>
        </w:rPr>
        <w:t xml:space="preserve"> </w:t>
      </w:r>
      <w:r>
        <w:rPr>
          <w:bCs/>
          <w:b/>
        </w:rPr>
        <w:t xml:space="preserve">lokaciju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674"/>
        <w:gridCol w:w="6071"/>
        <w:gridCol w:w="963"/>
        <w:gridCol w:w="19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Oznaka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Statički proračun nosive konstrukcije i temelja prema standardima iz Tačke 3.2, ovjeren i potpisan od ovlaštenog inženjera, sa dokazom na podizanje i prevrtanje — za obje lokacije. Dostavlja se u sklopu tehničkog rješenja i uslov je za počinjanje radova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POČETAK RADOVA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Tehničko rješenje konstrukcije za prihvat fotonaponskih panela za predmetnu lokaciju: tehnički nacrti konstrukcije i temelja, statički proračun i specifikacija materijala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Izjava o svojstvima prema EN 1090-1 i klasa izvedbe EXC2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Atesti materijala (čelik) i potvrda o vrućem cinčanju (debljina sloja)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 certifikat i proračun za hemijska sidra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Zapisnik o ispitivanju ankera na čupanje (min. 10 %), po lokaciji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Tehnički list (TDS) agregata sa dokazom o PMG/AREP nezavisnoj pobudi (3 × In, ≥10 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Proračun pada pritiska ventilacije i protutlaka izduvnog sistema, po lokaciji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Elaborat zaštite od požara za prostor sa rezervoarom 500 l, po lokaciji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Atesti i certifikati za elektro opremu, CPR kablove i prenaponsku zaštitu (SPD)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Ispitni protokoli elektroinstalacija i otpora uzemljenja (≤10 Ω), po lokaciji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Protokol o parametriranju i funkcionalnom ispitivanju integracije DEA–PV–baterija, po lokaciji, uključujući postavljeno ograničenje od 9,5 kW, start pri DOD 85 %, stop pri SoC 60 %, struju punjenja uz potvrdu proizvođača baterija i najkraće vrijeme 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Zapisnik o primopredaji demontiranog klima-uređaja Stulz WDE80 u skladištu Alipašino Polje (Hamzići)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REALIZACIJA</w:t>
            </w:r>
          </w:p>
        </w:tc>
      </w:tr>
    </w:tbl>
    <w:bookmarkEnd w:id="60"/>
    <w:bookmarkStart w:id="61" w:name="ispitivanja-i-puštanje-u-rad"/>
    <w:p>
      <w:pPr>
        <w:pStyle w:val="Heading2"/>
      </w:pPr>
      <w:r>
        <w:t xml:space="preserve">6. Ispitivanja i puštanje u rad</w:t>
      </w:r>
    </w:p>
    <w:p>
      <w:pPr>
        <w:pStyle w:val="FirstParagraph"/>
      </w:pPr>
      <w:r>
        <w:t xml:space="preserve">Ispitivanja se izvode</w:t>
      </w:r>
      <w:r>
        <w:t xml:space="preserve"> </w:t>
      </w:r>
      <w:r>
        <w:rPr>
          <w:bCs/>
          <w:b/>
        </w:rPr>
        <w:t xml:space="preserve">na svakoj lokaciji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Ispitivanje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Kriterij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≤10 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Kontinuitet zaštitnih vodiča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≤0,1 Ω po spoju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Ispitivanje čupanja ankera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≥10 % ankera, do 1,5 × projektne sile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Funkcionalno ispitivanje RCD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vrijeme i struja isključenja prema IEC 61008/61009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Ispitivanje ventilacije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izmjereni pad pritiska ≤125 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Funkcionalno ispitivanje agregata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automatski start/stop, zaštite, alarmi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Probni 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 neprekidnog rada sa simulacijom opterećenja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Mjerenje temperature prostora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 radu agregata na nazivnom opterećenju</w:t>
            </w:r>
          </w:p>
        </w:tc>
      </w:tr>
    </w:tbl>
    <w:bookmarkEnd w:id="61"/>
    <w:bookmarkStart w:id="62" w:name="garancija"/>
    <w:p>
      <w:pPr>
        <w:pStyle w:val="Heading2"/>
      </w:pPr>
      <w:r>
        <w:t xml:space="preserve">7. Garancija</w:t>
      </w:r>
    </w:p>
    <w:p>
      <w:pPr>
        <w:numPr>
          <w:ilvl w:val="0"/>
          <w:numId w:val="1007"/>
        </w:numPr>
        <w:pStyle w:val="Compact"/>
      </w:pPr>
      <w:r>
        <w:t xml:space="preserve">garantni period minimalno</w:t>
      </w:r>
      <w:r>
        <w:t xml:space="preserve"> </w:t>
      </w:r>
      <w:r>
        <w:rPr>
          <w:bCs/>
          <w:b/>
        </w:rPr>
        <w:t xml:space="preserve">24 mjeseca</w:t>
      </w:r>
      <w:r>
        <w:t xml:space="preserve"> </w:t>
      </w:r>
      <w:r>
        <w:t xml:space="preserve">od zapisnika o primopredaji bez primjedbi</w:t>
      </w:r>
    </w:p>
    <w:p>
      <w:pPr>
        <w:numPr>
          <w:ilvl w:val="0"/>
          <w:numId w:val="1007"/>
        </w:numPr>
        <w:pStyle w:val="Compact"/>
      </w:pPr>
      <w:r>
        <w:t xml:space="preserve">postgarantni period minimalno</w:t>
      </w:r>
      <w:r>
        <w:t xml:space="preserve"> </w:t>
      </w:r>
      <w:r>
        <w:rPr>
          <w:bCs/>
          <w:b/>
        </w:rPr>
        <w:t xml:space="preserve">5 godina</w:t>
      </w:r>
    </w:p>
    <w:p>
      <w:pPr>
        <w:numPr>
          <w:ilvl w:val="0"/>
          <w:numId w:val="1007"/>
        </w:numPr>
        <w:pStyle w:val="Compact"/>
      </w:pPr>
      <w:r>
        <w:t xml:space="preserve">spisak preporučenih rezervnih dijelova za 500 h rada agregata, za svaku lokaciju</w:t>
      </w:r>
    </w:p>
    <w:p>
      <w:pPr>
        <w:numPr>
          <w:ilvl w:val="0"/>
          <w:numId w:val="1007"/>
        </w:numPr>
        <w:pStyle w:val="Compact"/>
      </w:pPr>
      <w:r>
        <w:t xml:space="preserve">dokumentacija izvedenog stanja i uputstva za pogon i održavanje, za svaku lokaciju</w:t>
      </w:r>
    </w:p>
    <w:p>
      <w:r>
        <w:pict>
          <v:rect style="width:0;height:1.5pt" o:hralign="center" o:hrstd="t" o:hr="t"/>
        </w:pict>
      </w:r>
    </w:p>
    <w:bookmarkEnd w:id="62"/>
    <w:bookmarkStart w:id="72" w:name="očekivani-energetski-bilans-informativno"/>
    <w:p>
      <w:pPr>
        <w:pStyle w:val="Heading2"/>
      </w:pPr>
      <w:r>
        <w:t xml:space="preserve">8. Očekivani energetski bilans (informativno)</w:t>
      </w:r>
    </w:p>
    <w:p>
      <w:pPr>
        <w:pStyle w:val="FirstParagraph"/>
      </w:pPr>
      <w:r>
        <w:t xml:space="preserve">Satna simulacija energetskog bilansa na −48 V DC sabirnici za 19 godina (2005–2023) za</w:t>
      </w:r>
      <w:r>
        <w:t xml:space="preserve"> </w:t>
      </w:r>
      <w:r>
        <w:t xml:space="preserve">svaku lokaciju: ozračenje iz PVGIS-SARAH3, FN lanac sa gubicima po komponentama</w:t>
      </w:r>
      <w:r>
        <w:t xml:space="preserve"> </w:t>
      </w:r>
      <w:r>
        <w:t xml:space="preserve">(uključujući krivulju efikasnosti iSSU S4875G2), baterije 48,6 kWh (6 × 150 Ah), pomoćnu</w:t>
      </w:r>
      <w:r>
        <w:t xml:space="preserve"> </w:t>
      </w:r>
      <w:r>
        <w:t xml:space="preserve">potrošnju od 45 W sa trajnim potrošačima iz Tačke 4.5 i agregat preko ispravljača</w:t>
      </w:r>
      <w:r>
        <w:t xml:space="preserve"> </w:t>
      </w:r>
      <w:r>
        <w:t xml:space="preserve">ograničenih na 9,5 kW, uz parametriranje SMU iz Tačke 4.6. Metoda, provjera</w:t>
      </w:r>
      <w:r>
        <w:t xml:space="preserve"> </w:t>
      </w:r>
      <w:r>
        <w:t xml:space="preserve">prema PVGIS-u, gubici i osjetljivost na postavke su u proračunima lokacija, dio A.6.</w:t>
      </w:r>
      <w:r>
        <w:t xml:space="preserve"> </w:t>
      </w:r>
      <w:r>
        <w:rPr>
          <w:bCs/>
          <w:b/>
        </w:rPr>
        <w:t xml:space="preserve">Vrijednosti su informativne i ne mijenjaju zahtjeve Tačaka 3 i 4.</w:t>
      </w:r>
    </w:p>
    <w:p>
      <w:pPr>
        <w:pStyle w:val="BodyText"/>
      </w:pPr>
      <w:r>
        <w:t xml:space="preserve">Polja su na obje lokacije okrenuta na</w:t>
      </w:r>
      <w:r>
        <w:t xml:space="preserve"> </w:t>
      </w:r>
      <w:r>
        <w:rPr>
          <w:bCs/>
          <w:b/>
        </w:rPr>
        <w:t xml:space="preserve">pravi jugozapad (azimut 225°)</w:t>
      </w:r>
      <w:r>
        <w:t xml:space="preserve">, u jednom nizu</w:t>
      </w:r>
      <w:r>
        <w:t xml:space="preserve"> </w:t>
      </w:r>
      <w:r>
        <w:t xml:space="preserve">paralelnom sa JZ ogradom (Naručilac 11.09.2026). Okrenuta na jug (180°), ista polja bi</w:t>
      </w:r>
      <w:r>
        <w:t xml:space="preserve"> </w:t>
      </w:r>
      <w:r>
        <w:t xml:space="preserve">dala ≈9 % više energije godišnje i ≈21 % više u decembru, a agregat bi radio ≈50 h</w:t>
      </w:r>
      <w:r>
        <w:t xml:space="preserve"> </w:t>
      </w:r>
      <w:r>
        <w:t xml:space="preserve">godišnje manje. Očekivani rad agregata je zato na obje lokacije iznad cilja od 250 h</w:t>
      </w:r>
      <w:r>
        <w:t xml:space="preserve"> </w:t>
      </w:r>
      <w:r>
        <w:t xml:space="preserve">godišnje iz RFI; to je svjesno prihvaćena cijena orijentacije JZ (proračuni lokacija,</w:t>
      </w:r>
      <w:r>
        <w:t xml:space="preserve"> </w:t>
      </w:r>
      <w:r>
        <w:t xml:space="preserve">dio A.6).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505"/>
        <w:gridCol w:w="2891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Pokazatelj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Sjednica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FN proizvodnja na DC sabirnici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≈9 240 kWh/god (1 317 kWh/kWp)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≈9 580 kWh/god (1 365 kWh/kWp)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Potrošnja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≈10 790 kWh/god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≈10 860 kWh/god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Decembar: FN / potrošnja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≈440 / ≈910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≈480 / ≈910 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Solarni udio u potrošnji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 agregata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≈300 h/god</w:t>
            </w:r>
            <w:r>
              <w:t xml:space="preserve">; u 9 od 10 godina do ≈360 h; najviše ≈380 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≈270 h/god</w:t>
            </w:r>
            <w:r>
              <w:t xml:space="preserve">; u 9 od 10 godina do ≈320 h; najviše ≈350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Startova agregata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≈110 godišnje, najviše ≈130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 godišnje, najviše ≈120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Potrošnja goriva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≈990 l/god</w:t>
            </w:r>
            <w:r>
              <w:t xml:space="preserve">; spremnik od 500 l dopunjava se dva do tri puta godišnje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≈900 l/god</w:t>
            </w:r>
            <w:r>
              <w:t xml:space="preserve">; spremnik od 500 l dopunjava se dva puta godišnje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Nepokrivena potrošnja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Bez parametriranja iz Tačke 4.6 (zaustavljanje pri SoC 90 %, uobičajena struja</w:t>
      </w:r>
      <w:r>
        <w:t xml:space="preserve"> </w:t>
      </w:r>
      <w:r>
        <w:t xml:space="preserve">punjenja) agregat bi radio ≈330 h i trošio ≈1 090 l godišnje na Sjednici, odnosno ≈300 h</w:t>
      </w:r>
      <w:r>
        <w:t xml:space="preserve"> </w:t>
      </w:r>
      <w:r>
        <w:t xml:space="preserve">i ≈1 000 l na Hamzićima. Na Hamzićima vrijednosti važe bez zasjenjenja stablom; sa</w:t>
      </w:r>
      <w:r>
        <w:t xml:space="preserve"> </w:t>
      </w:r>
      <w:r>
        <w:t xml:space="preserve">stablom rad agregata raste za 1–10 h godišnje.</w:t>
      </w:r>
    </w:p>
    <w:p>
      <w:pPr>
        <w:pStyle w:val="CaptionedFigure"/>
      </w:pPr>
      <w:r>
        <w:drawing>
          <wp:inline>
            <wp:extent cx="5523978" cy="3006246"/>
            <wp:effectExtent b="0" l="0" r="0" t="0"/>
            <wp:docPr descr="Slika 7 — BS Sjednica: mjesečni energetski bilans (prosjek i raspon 2005–2023)" title="" id="64" name="Picture"/>
            <a:graphic>
              <a:graphicData uri="http://schemas.openxmlformats.org/drawingml/2006/picture">
                <pic:pic>
                  <pic:nvPicPr>
                    <pic:cNvPr descr="../TD-OUTPUT/grafika/prilog1/energetski-bilans-sjednica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0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7 — BS Sjednica: mjesečni energetski bilans (prosjek i raspon 2005–2023)</w:t>
      </w:r>
    </w:p>
    <w:p>
      <w:pPr>
        <w:pStyle w:val="CaptionedFigure"/>
      </w:pPr>
      <w:r>
        <w:drawing>
          <wp:inline>
            <wp:extent cx="5523978" cy="3027123"/>
            <wp:effectExtent b="0" l="0" r="0" t="0"/>
            <wp:docPr descr="Slika 8 — BS Hamzići: mjesečni energetski bilans (prosjek i raspon 2005–2023)" title="" id="67" name="Picture"/>
            <a:graphic>
              <a:graphicData uri="http://schemas.openxmlformats.org/drawingml/2006/picture">
                <pic:pic>
                  <pic:nvPicPr>
                    <pic:cNvPr descr="../TD-OUTPUT/grafika/prilog1/energetski-bilans-hamzic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2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8 — BS Hamzići: mjesečni energetski bilans (prosjek i raspon 2005–2023)</w:t>
      </w:r>
    </w:p>
    <w:p>
      <w:pPr>
        <w:pStyle w:val="CaptionedFigure"/>
      </w:pPr>
      <w:r>
        <w:drawing>
          <wp:inline>
            <wp:extent cx="5382016" cy="2680569"/>
            <wp:effectExtent b="0" l="0" r="0" t="0"/>
            <wp:docPr descr="Slika 9 — BS Hamzići: horizont, putanje Sunca i stablo JJI–JI (procjena)" title="" id="70" name="Picture"/>
            <a:graphic>
              <a:graphicData uri="http://schemas.openxmlformats.org/drawingml/2006/picture">
                <pic:pic>
                  <pic:nvPicPr>
                    <pic:cNvPr descr="../TD-OUTPUT/grafika/prilog1/horizont-hamzic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016" cy="2680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9 — BS Hamzići: horizont, putanje Sunca i stablo JJI–JI (procjena)</w:t>
      </w:r>
    </w:p>
    <w:bookmarkEnd w:id="72"/>
    <w:bookmarkEnd w:id="73"/>
    <w:sect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1"/>
      <w:szCs w:val="21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1"/>
      <w:szCs w:val="21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66" Target="media/rId66.png" /><Relationship Type="http://schemas.openxmlformats.org/officeDocument/2006/relationships/image" Id="rId63" Target="media/rId63.png" /><Relationship Type="http://schemas.openxmlformats.org/officeDocument/2006/relationships/image" Id="rId49" Target="media/rId49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38" Target="media/rId38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2026-09-14T06:43:39Z</dcterms:created>
  <dcterms:modified xsi:type="dcterms:W3CDTF">2026-09-14T06:43:39Z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