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(Obrazac za cijenu ponude, zaseban za</w:t>
      </w:r>
      <w:r>
        <w:t xml:space="preserve"> </w:t>
      </w:r>
      <w:r>
        <w:t xml:space="preserve">svaki LOT), (4) Prilog III (grafički 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</w:t>
      </w:r>
      <w:r>
        <w:rPr>
          <w:b/>
          <w:bCs/>
        </w:rPr>
        <w:t xml:space="preserve"> </w:t>
      </w:r>
      <w:r>
        <w:rPr>
          <w:b/>
          <w:bCs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p>
      <w:pPr>
        <w:pStyle w:val="BodyText"/>
      </w:pPr>
      <w:r>
        <w:rPr>
          <w:b/>
          <w:bCs/>
        </w:rPr>
        <w:t xml:space="preserve">Podatak lokaliteta</w:t>
      </w:r>
      <w:r>
        <w:t xml:space="preserve"> </w:t>
      </w:r>
      <w:r>
        <w:t xml:space="preserve">(obavezujuće, iz ovjerene projektne dokumentacije lokacije):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§7.3, osim ako se proračunom dokaže drugačije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Projektne sile po nosaču se ne zadaju.</w:t>
      </w:r>
      <w:r>
        <w:t xml:space="preserve"> </w:t>
      </w:r>
      <w:r>
        <w:t xml:space="preserve">One proizlaze iz koncepta konstrukcije koji</w:t>
      </w:r>
      <w:r>
        <w:t xml:space="preserve"> </w:t>
      </w:r>
      <w:r>
        <w:t xml:space="preserve">Ponuđač nudi i iskazuju se i dokazuju u njegovom tehničkom rješenju i statičkom proračunu</w:t>
      </w:r>
      <w:r>
        <w:t xml:space="preserve"> </w:t>
      </w:r>
      <w:r>
        <w:t xml:space="preserve">(Tačka 5, dokaz 2). Vrijednosti u tabeli ispod su</w:t>
      </w:r>
      <w:r>
        <w:t xml:space="preserve"> </w:t>
      </w:r>
      <w:r>
        <w:rPr>
          <w:b/>
          <w:bCs/>
        </w:rPr>
        <w:t xml:space="preserve">orijentacione</w:t>
      </w:r>
      <w:r>
        <w:t xml:space="preserve">, izvedene za referentnu</w:t>
      </w:r>
      <w:r>
        <w:t xml:space="preserve"> </w:t>
      </w:r>
      <w:r>
        <w:t xml:space="preserve">geometriju polja iz Tačke 3.1, i služe samo za procjenu reda veličine: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 (orijentaciono)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14,1 kN (GSN, γQ = 1,5 / γG,fav = 0,9; vlastita težina konstrukcije se zanemaruje)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10,0 kN (GSN)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t xml:space="preserve">25,7 kNm (GSN)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t xml:space="preserve">16,1 kN pri razmaku traka 1600 mm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u tehničkom rješenju; mjerodavno opterećenje sidrenja je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</w:t>
            </w:r>
            <w:r>
              <w:t xml:space="preserve"> </w:t>
            </w:r>
            <w:r>
              <w:t xml:space="preserve">(Tačka 3.2, orijentaciono)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podizanje:</w:t>
      </w:r>
      <w:r>
        <w:t xml:space="preserve"> </w:t>
      </w:r>
      <w:r>
        <w:rPr>
          <w:rStyle w:val="VerbatimChar"/>
        </w:rPr>
        <w:t xml:space="preserve">1,170 m³ × 24 kN/m³ × 0,9 = 25,3 kN</w:t>
      </w:r>
      <w:r>
        <w:t xml:space="preserve"> </w:t>
      </w:r>
      <w:r>
        <w:t xml:space="preserve">prema sprezi od 16,1 kN po traci. Traka manje</w:t>
      </w:r>
      <w:r>
        <w:t xml:space="preserve"> </w:t>
      </w:r>
      <w:r>
        <w:t xml:space="preserve">zapremine tu provjeru ne zatvara vlastitom težinom.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1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6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6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6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7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7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7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7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2026-09-14T08:03:55Z</dcterms:created>
  <dcterms:modified xsi:type="dcterms:W3CDTF">2026-09-14T08:03:55Z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