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5941" w14:textId="77777777" w:rsidR="00920F8F" w:rsidRPr="00970F0C" w:rsidRDefault="00920F8F">
      <w:pPr>
        <w:rPr>
          <w:rFonts w:ascii="Times New Roman" w:hAnsi="Times New Roman" w:cs="Times New Roman"/>
          <w:b/>
          <w:bCs/>
        </w:rPr>
      </w:pPr>
    </w:p>
    <w:p w14:paraId="008B2585" w14:textId="77777777" w:rsidR="00920F8F" w:rsidRPr="00970F0C" w:rsidRDefault="00920F8F">
      <w:pPr>
        <w:rPr>
          <w:rFonts w:ascii="Times New Roman" w:hAnsi="Times New Roman" w:cs="Times New Roman"/>
          <w:b/>
          <w:bCs/>
        </w:rPr>
      </w:pPr>
    </w:p>
    <w:p w14:paraId="12E6CB9E" w14:textId="77777777" w:rsidR="00920F8F" w:rsidRPr="00970F0C" w:rsidRDefault="00920F8F">
      <w:pPr>
        <w:rPr>
          <w:rFonts w:ascii="Times New Roman" w:hAnsi="Times New Roman" w:cs="Times New Roman"/>
          <w:b/>
          <w:bCs/>
        </w:rPr>
      </w:pPr>
    </w:p>
    <w:p w14:paraId="0ED9191E" w14:textId="77777777" w:rsidR="00920F8F" w:rsidRPr="00970F0C" w:rsidRDefault="00920F8F">
      <w:pPr>
        <w:rPr>
          <w:rFonts w:ascii="Times New Roman" w:hAnsi="Times New Roman" w:cs="Times New Roman"/>
          <w:b/>
          <w:bCs/>
        </w:rPr>
      </w:pPr>
    </w:p>
    <w:p w14:paraId="161A2F41" w14:textId="77777777" w:rsidR="00920F8F" w:rsidRPr="00970F0C" w:rsidRDefault="00920F8F">
      <w:pPr>
        <w:rPr>
          <w:rFonts w:ascii="Times New Roman" w:hAnsi="Times New Roman" w:cs="Times New Roman"/>
          <w:b/>
          <w:bCs/>
        </w:rPr>
      </w:pPr>
    </w:p>
    <w:p w14:paraId="09DA1A07" w14:textId="77777777" w:rsidR="00920F8F" w:rsidRPr="00970F0C" w:rsidRDefault="00920F8F">
      <w:pPr>
        <w:rPr>
          <w:rFonts w:ascii="Times New Roman" w:hAnsi="Times New Roman" w:cs="Times New Roman"/>
          <w:b/>
          <w:bCs/>
        </w:rPr>
      </w:pPr>
    </w:p>
    <w:p w14:paraId="1E2EAF4C" w14:textId="083FF201" w:rsidR="00920F8F" w:rsidRPr="00970F0C" w:rsidRDefault="00920F8F" w:rsidP="00920F8F">
      <w:pPr>
        <w:jc w:val="center"/>
        <w:rPr>
          <w:rFonts w:ascii="Times New Roman" w:hAnsi="Times New Roman" w:cs="Times New Roman"/>
          <w:b/>
          <w:bCs/>
          <w:sz w:val="144"/>
          <w:szCs w:val="144"/>
        </w:rPr>
      </w:pPr>
      <w:r w:rsidRPr="00970F0C">
        <w:rPr>
          <w:rFonts w:ascii="Times New Roman" w:hAnsi="Times New Roman" w:cs="Times New Roman"/>
          <w:b/>
          <w:bCs/>
          <w:sz w:val="144"/>
          <w:szCs w:val="144"/>
        </w:rPr>
        <w:t>User Guide</w:t>
      </w:r>
    </w:p>
    <w:p w14:paraId="7AAE01FD" w14:textId="77777777" w:rsidR="00920F8F" w:rsidRPr="00970F0C" w:rsidRDefault="00920F8F" w:rsidP="00920F8F">
      <w:pPr>
        <w:jc w:val="center"/>
        <w:rPr>
          <w:rFonts w:ascii="Times New Roman" w:hAnsi="Times New Roman" w:cs="Times New Roman"/>
          <w:b/>
          <w:bCs/>
          <w:sz w:val="144"/>
          <w:szCs w:val="144"/>
        </w:rPr>
      </w:pPr>
      <w:r w:rsidRPr="00970F0C">
        <w:rPr>
          <w:rFonts w:ascii="Times New Roman" w:hAnsi="Times New Roman" w:cs="Times New Roman"/>
          <w:b/>
          <w:bCs/>
          <w:sz w:val="144"/>
          <w:szCs w:val="144"/>
        </w:rPr>
        <w:t>OF</w:t>
      </w:r>
    </w:p>
    <w:p w14:paraId="58398A8B" w14:textId="3683D709" w:rsidR="00920F8F" w:rsidRPr="00970F0C" w:rsidRDefault="00920F8F" w:rsidP="003A1C5F">
      <w:pPr>
        <w:jc w:val="center"/>
        <w:rPr>
          <w:rFonts w:ascii="Times New Roman" w:hAnsi="Times New Roman" w:cs="Times New Roman"/>
          <w:b/>
          <w:bCs/>
          <w:sz w:val="144"/>
          <w:szCs w:val="144"/>
        </w:rPr>
      </w:pPr>
      <w:r w:rsidRPr="00970F0C">
        <w:rPr>
          <w:rFonts w:ascii="Times New Roman" w:hAnsi="Times New Roman" w:cs="Times New Roman"/>
          <w:b/>
          <w:bCs/>
          <w:sz w:val="144"/>
          <w:szCs w:val="144"/>
        </w:rPr>
        <w:t>EMR</w:t>
      </w:r>
    </w:p>
    <w:p w14:paraId="1464CEFD" w14:textId="77777777" w:rsidR="00970F0C" w:rsidRPr="00970F0C" w:rsidRDefault="00970F0C" w:rsidP="00920F8F">
      <w:pPr>
        <w:jc w:val="center"/>
        <w:rPr>
          <w:rFonts w:ascii="Times New Roman" w:hAnsi="Times New Roman" w:cs="Times New Roman"/>
          <w:b/>
          <w:bCs/>
          <w:sz w:val="144"/>
          <w:szCs w:val="144"/>
        </w:rPr>
      </w:pPr>
    </w:p>
    <w:tbl>
      <w:tblPr>
        <w:tblW w:w="7371" w:type="dxa"/>
        <w:jc w:val="center"/>
        <w:tblBorders>
          <w:top w:val="single" w:sz="12" w:space="0" w:color="000000"/>
          <w:left w:val="single" w:sz="12" w:space="0" w:color="000000"/>
          <w:bottom w:val="single" w:sz="12" w:space="0" w:color="000000"/>
          <w:right w:val="single" w:sz="12" w:space="0" w:color="000000"/>
        </w:tblBorders>
        <w:tblLayout w:type="fixed"/>
        <w:tblCellMar>
          <w:left w:w="71" w:type="dxa"/>
          <w:right w:w="71" w:type="dxa"/>
        </w:tblCellMar>
        <w:tblLook w:val="0000" w:firstRow="0" w:lastRow="0" w:firstColumn="0" w:lastColumn="0" w:noHBand="0" w:noVBand="0"/>
      </w:tblPr>
      <w:tblGrid>
        <w:gridCol w:w="2835"/>
        <w:gridCol w:w="2835"/>
        <w:gridCol w:w="1701"/>
      </w:tblGrid>
      <w:tr w:rsidR="00970F0C" w:rsidRPr="00970F0C" w14:paraId="44C65868" w14:textId="77777777" w:rsidTr="00970F0C">
        <w:trPr>
          <w:jc w:val="center"/>
        </w:trPr>
        <w:tc>
          <w:tcPr>
            <w:tcW w:w="2835" w:type="dxa"/>
            <w:tcBorders>
              <w:top w:val="single" w:sz="12" w:space="0" w:color="auto"/>
              <w:left w:val="single" w:sz="12" w:space="0" w:color="auto"/>
              <w:bottom w:val="nil"/>
              <w:right w:val="single" w:sz="6" w:space="0" w:color="auto"/>
            </w:tcBorders>
            <w:shd w:val="clear" w:color="auto" w:fill="F3F3F3"/>
          </w:tcPr>
          <w:p w14:paraId="07D097C7" w14:textId="621D4687" w:rsidR="00970F0C" w:rsidRPr="00970F0C" w:rsidRDefault="00970F0C" w:rsidP="00970F0C">
            <w:pPr>
              <w:pStyle w:val="Header"/>
              <w:spacing w:before="40" w:after="40"/>
              <w:ind w:left="170"/>
              <w:jc w:val="center"/>
              <w:rPr>
                <w:rFonts w:ascii="Times New Roman" w:eastAsia="Calibri" w:hAnsi="Times New Roman" w:cs="Times New Roman"/>
                <w:b/>
                <w:bCs/>
              </w:rPr>
            </w:pPr>
            <w:r w:rsidRPr="00970F0C">
              <w:rPr>
                <w:rFonts w:ascii="Times New Roman" w:eastAsia="Calibri" w:hAnsi="Times New Roman" w:cs="Times New Roman"/>
                <w:b/>
                <w:bCs/>
              </w:rPr>
              <w:t>Prepared by:</w:t>
            </w:r>
          </w:p>
        </w:tc>
        <w:tc>
          <w:tcPr>
            <w:tcW w:w="2835" w:type="dxa"/>
            <w:tcBorders>
              <w:top w:val="single" w:sz="12" w:space="0" w:color="auto"/>
              <w:left w:val="single" w:sz="6" w:space="0" w:color="auto"/>
              <w:bottom w:val="nil"/>
              <w:right w:val="single" w:sz="6" w:space="0" w:color="auto"/>
            </w:tcBorders>
            <w:shd w:val="pct5" w:color="auto" w:fill="auto"/>
          </w:tcPr>
          <w:p w14:paraId="685B4F62" w14:textId="18279D1C" w:rsidR="00970F0C" w:rsidRPr="00970F0C" w:rsidRDefault="00970F0C" w:rsidP="00970F0C">
            <w:pPr>
              <w:pStyle w:val="Header"/>
              <w:spacing w:before="40" w:after="40"/>
              <w:ind w:left="170"/>
              <w:jc w:val="center"/>
              <w:rPr>
                <w:rFonts w:ascii="Times New Roman" w:eastAsia="Calibri" w:hAnsi="Times New Roman" w:cs="Times New Roman"/>
                <w:b/>
                <w:bCs/>
              </w:rPr>
            </w:pPr>
            <w:r w:rsidRPr="00970F0C">
              <w:rPr>
                <w:rFonts w:ascii="Times New Roman" w:eastAsia="Calibri" w:hAnsi="Times New Roman" w:cs="Times New Roman"/>
                <w:b/>
                <w:bCs/>
              </w:rPr>
              <w:t>Function:</w:t>
            </w:r>
          </w:p>
        </w:tc>
        <w:tc>
          <w:tcPr>
            <w:tcW w:w="1701" w:type="dxa"/>
            <w:tcBorders>
              <w:top w:val="single" w:sz="12" w:space="0" w:color="auto"/>
              <w:left w:val="single" w:sz="6" w:space="0" w:color="auto"/>
              <w:bottom w:val="nil"/>
              <w:right w:val="single" w:sz="12" w:space="0" w:color="auto"/>
            </w:tcBorders>
            <w:shd w:val="pct5" w:color="auto" w:fill="auto"/>
          </w:tcPr>
          <w:p w14:paraId="583001EA" w14:textId="77777777" w:rsidR="00970F0C" w:rsidRPr="00970F0C" w:rsidRDefault="00970F0C" w:rsidP="00970F0C">
            <w:pPr>
              <w:pStyle w:val="Header"/>
              <w:spacing w:before="40" w:after="40"/>
              <w:ind w:left="170"/>
              <w:jc w:val="center"/>
              <w:rPr>
                <w:rFonts w:ascii="Times New Roman" w:eastAsia="Calibri" w:hAnsi="Times New Roman" w:cs="Times New Roman"/>
                <w:b/>
                <w:bCs/>
              </w:rPr>
            </w:pPr>
            <w:r w:rsidRPr="00970F0C">
              <w:rPr>
                <w:rFonts w:ascii="Times New Roman" w:eastAsia="Calibri" w:hAnsi="Times New Roman" w:cs="Times New Roman"/>
                <w:b/>
                <w:bCs/>
              </w:rPr>
              <w:t>Date</w:t>
            </w:r>
          </w:p>
        </w:tc>
      </w:tr>
      <w:tr w:rsidR="00970F0C" w:rsidRPr="00970F0C" w14:paraId="1475973A" w14:textId="77777777" w:rsidTr="00970F0C">
        <w:trPr>
          <w:jc w:val="center"/>
        </w:trPr>
        <w:tc>
          <w:tcPr>
            <w:tcW w:w="2835" w:type="dxa"/>
            <w:tcBorders>
              <w:top w:val="single" w:sz="6" w:space="0" w:color="000000"/>
              <w:left w:val="single" w:sz="12" w:space="0" w:color="auto"/>
              <w:bottom w:val="single" w:sz="6" w:space="0" w:color="000000"/>
              <w:right w:val="single" w:sz="6" w:space="0" w:color="auto"/>
            </w:tcBorders>
            <w:shd w:val="clear" w:color="auto" w:fill="FFFFFF"/>
            <w:vAlign w:val="center"/>
          </w:tcPr>
          <w:p w14:paraId="083A64ED" w14:textId="15649DF1" w:rsidR="00970F0C" w:rsidRPr="00970F0C" w:rsidRDefault="00970F0C" w:rsidP="001744AA">
            <w:pPr>
              <w:pStyle w:val="Header"/>
              <w:spacing w:before="40" w:after="40"/>
              <w:jc w:val="center"/>
              <w:rPr>
                <w:rFonts w:ascii="Times New Roman" w:eastAsia="Calibri" w:hAnsi="Times New Roman" w:cs="Times New Roman"/>
              </w:rPr>
            </w:pPr>
            <w:r w:rsidRPr="00970F0C">
              <w:rPr>
                <w:rFonts w:ascii="Times New Roman" w:eastAsia="Calibri" w:hAnsi="Times New Roman" w:cs="Times New Roman"/>
              </w:rPr>
              <w:t>Shiva Prasad</w:t>
            </w:r>
          </w:p>
        </w:tc>
        <w:tc>
          <w:tcPr>
            <w:tcW w:w="2835" w:type="dxa"/>
            <w:tcBorders>
              <w:top w:val="single" w:sz="6" w:space="0" w:color="000000"/>
              <w:left w:val="single" w:sz="6" w:space="0" w:color="auto"/>
              <w:bottom w:val="single" w:sz="6" w:space="0" w:color="000000"/>
              <w:right w:val="single" w:sz="6" w:space="0" w:color="auto"/>
            </w:tcBorders>
            <w:shd w:val="clear" w:color="auto" w:fill="FFFFFF"/>
            <w:vAlign w:val="center"/>
          </w:tcPr>
          <w:p w14:paraId="433E9517" w14:textId="0A8394D5" w:rsidR="00970F0C" w:rsidRPr="00970F0C" w:rsidRDefault="00970F0C" w:rsidP="001744AA">
            <w:pPr>
              <w:pStyle w:val="Header"/>
              <w:spacing w:before="40" w:after="40"/>
              <w:jc w:val="center"/>
              <w:rPr>
                <w:rFonts w:ascii="Times New Roman" w:eastAsia="Calibri" w:hAnsi="Times New Roman" w:cs="Times New Roman"/>
              </w:rPr>
            </w:pPr>
            <w:r w:rsidRPr="00970F0C">
              <w:rPr>
                <w:rFonts w:ascii="Times New Roman" w:eastAsia="Calibri" w:hAnsi="Times New Roman" w:cs="Times New Roman"/>
              </w:rPr>
              <w:t>Open EMR</w:t>
            </w:r>
          </w:p>
        </w:tc>
        <w:tc>
          <w:tcPr>
            <w:tcW w:w="1701" w:type="dxa"/>
            <w:tcBorders>
              <w:top w:val="single" w:sz="6" w:space="0" w:color="000000"/>
              <w:left w:val="single" w:sz="6" w:space="0" w:color="auto"/>
              <w:bottom w:val="single" w:sz="6" w:space="0" w:color="000000"/>
              <w:right w:val="single" w:sz="12" w:space="0" w:color="auto"/>
            </w:tcBorders>
            <w:shd w:val="clear" w:color="auto" w:fill="FFFFFF"/>
            <w:vAlign w:val="center"/>
          </w:tcPr>
          <w:p w14:paraId="05973269" w14:textId="4DD1A0D6" w:rsidR="00970F0C" w:rsidRPr="00970F0C" w:rsidRDefault="00970F0C" w:rsidP="001744AA">
            <w:pPr>
              <w:pStyle w:val="Header"/>
              <w:spacing w:before="40" w:after="40"/>
              <w:ind w:left="170"/>
              <w:rPr>
                <w:rFonts w:ascii="Times New Roman" w:eastAsia="Calibri" w:hAnsi="Times New Roman" w:cs="Times New Roman"/>
              </w:rPr>
            </w:pPr>
            <w:r w:rsidRPr="00970F0C">
              <w:rPr>
                <w:rFonts w:ascii="Times New Roman" w:eastAsia="Calibri" w:hAnsi="Times New Roman" w:cs="Times New Roman"/>
              </w:rPr>
              <w:t>01-Feb-2023</w:t>
            </w:r>
          </w:p>
        </w:tc>
      </w:tr>
    </w:tbl>
    <w:p w14:paraId="56C301FC" w14:textId="77777777" w:rsidR="00970F0C" w:rsidRPr="00970F0C" w:rsidRDefault="00970F0C" w:rsidP="00970F0C">
      <w:pPr>
        <w:rPr>
          <w:rFonts w:ascii="Times New Roman" w:hAnsi="Times New Roman" w:cs="Times New Roman"/>
          <w:b/>
          <w:bCs/>
        </w:rPr>
      </w:pPr>
    </w:p>
    <w:p w14:paraId="55B8BC56" w14:textId="3C23C739" w:rsidR="00920F8F" w:rsidRPr="00970F0C" w:rsidRDefault="00920F8F">
      <w:pPr>
        <w:rPr>
          <w:rFonts w:ascii="Times New Roman" w:hAnsi="Times New Roman" w:cs="Times New Roman"/>
          <w:b/>
          <w:bCs/>
          <w:sz w:val="16"/>
          <w:szCs w:val="16"/>
        </w:rPr>
      </w:pPr>
      <w:r w:rsidRPr="00970F0C">
        <w:rPr>
          <w:rFonts w:ascii="Times New Roman" w:hAnsi="Times New Roman" w:cs="Times New Roman"/>
          <w:b/>
          <w:bCs/>
          <w:sz w:val="16"/>
          <w:szCs w:val="16"/>
        </w:rPr>
        <w:br w:type="page"/>
      </w:r>
    </w:p>
    <w:sdt>
      <w:sdtPr>
        <w:rPr>
          <w:rFonts w:ascii="Times New Roman" w:eastAsiaTheme="minorHAnsi" w:hAnsi="Times New Roman" w:cs="Times New Roman"/>
          <w:color w:val="auto"/>
          <w:sz w:val="22"/>
          <w:szCs w:val="22"/>
        </w:rPr>
        <w:id w:val="1851145520"/>
        <w:docPartObj>
          <w:docPartGallery w:val="Table of Contents"/>
          <w:docPartUnique/>
        </w:docPartObj>
      </w:sdtPr>
      <w:sdtEndPr>
        <w:rPr>
          <w:b/>
          <w:bCs/>
          <w:noProof/>
        </w:rPr>
      </w:sdtEndPr>
      <w:sdtContent>
        <w:p w14:paraId="72D108C1" w14:textId="7D5EC153" w:rsidR="00970F0C" w:rsidRPr="00970F0C" w:rsidRDefault="00970F0C">
          <w:pPr>
            <w:pStyle w:val="TOCHeading"/>
            <w:rPr>
              <w:rFonts w:ascii="Times New Roman" w:hAnsi="Times New Roman" w:cs="Times New Roman"/>
            </w:rPr>
          </w:pPr>
          <w:r w:rsidRPr="00970F0C">
            <w:rPr>
              <w:rFonts w:ascii="Times New Roman" w:hAnsi="Times New Roman" w:cs="Times New Roman"/>
            </w:rPr>
            <w:t>Contents</w:t>
          </w:r>
        </w:p>
        <w:p w14:paraId="2CDFE0F7" w14:textId="44896FDE" w:rsidR="00970F0C" w:rsidRPr="00970F0C" w:rsidRDefault="00970F0C">
          <w:pPr>
            <w:pStyle w:val="TOC1"/>
            <w:tabs>
              <w:tab w:val="right" w:leader="dot" w:pos="9350"/>
            </w:tabs>
            <w:rPr>
              <w:rFonts w:ascii="Times New Roman" w:eastAsiaTheme="minorEastAsia" w:hAnsi="Times New Roman" w:cs="Times New Roman"/>
              <w:noProof/>
            </w:rPr>
          </w:pPr>
          <w:r w:rsidRPr="00970F0C">
            <w:rPr>
              <w:rFonts w:ascii="Times New Roman" w:hAnsi="Times New Roman" w:cs="Times New Roman"/>
            </w:rPr>
            <w:fldChar w:fldCharType="begin"/>
          </w:r>
          <w:r w:rsidRPr="00970F0C">
            <w:rPr>
              <w:rFonts w:ascii="Times New Roman" w:hAnsi="Times New Roman" w:cs="Times New Roman"/>
            </w:rPr>
            <w:instrText xml:space="preserve"> TOC \o "1-3" \h \z \u </w:instrText>
          </w:r>
          <w:r w:rsidRPr="00970F0C">
            <w:rPr>
              <w:rFonts w:ascii="Times New Roman" w:hAnsi="Times New Roman" w:cs="Times New Roman"/>
            </w:rPr>
            <w:fldChar w:fldCharType="separate"/>
          </w:r>
          <w:hyperlink w:anchor="_Toc126164352" w:history="1">
            <w:r w:rsidRPr="00970F0C">
              <w:rPr>
                <w:rStyle w:val="Hyperlink"/>
                <w:rFonts w:ascii="Times New Roman" w:hAnsi="Times New Roman" w:cs="Times New Roman"/>
                <w:noProof/>
              </w:rPr>
              <w:t>Introduction</w:t>
            </w:r>
            <w:r w:rsidRPr="00970F0C">
              <w:rPr>
                <w:rFonts w:ascii="Times New Roman" w:hAnsi="Times New Roman" w:cs="Times New Roman"/>
                <w:noProof/>
                <w:webHidden/>
              </w:rPr>
              <w:tab/>
            </w:r>
            <w:r w:rsidRPr="00970F0C">
              <w:rPr>
                <w:rFonts w:ascii="Times New Roman" w:hAnsi="Times New Roman" w:cs="Times New Roman"/>
                <w:noProof/>
                <w:webHidden/>
              </w:rPr>
              <w:fldChar w:fldCharType="begin"/>
            </w:r>
            <w:r w:rsidRPr="00970F0C">
              <w:rPr>
                <w:rFonts w:ascii="Times New Roman" w:hAnsi="Times New Roman" w:cs="Times New Roman"/>
                <w:noProof/>
                <w:webHidden/>
              </w:rPr>
              <w:instrText xml:space="preserve"> PAGEREF _Toc126164352 \h </w:instrText>
            </w:r>
            <w:r w:rsidRPr="00970F0C">
              <w:rPr>
                <w:rFonts w:ascii="Times New Roman" w:hAnsi="Times New Roman" w:cs="Times New Roman"/>
                <w:noProof/>
                <w:webHidden/>
              </w:rPr>
            </w:r>
            <w:r w:rsidRPr="00970F0C">
              <w:rPr>
                <w:rFonts w:ascii="Times New Roman" w:hAnsi="Times New Roman" w:cs="Times New Roman"/>
                <w:noProof/>
                <w:webHidden/>
              </w:rPr>
              <w:fldChar w:fldCharType="separate"/>
            </w:r>
            <w:r w:rsidRPr="00970F0C">
              <w:rPr>
                <w:rFonts w:ascii="Times New Roman" w:hAnsi="Times New Roman" w:cs="Times New Roman"/>
                <w:noProof/>
                <w:webHidden/>
              </w:rPr>
              <w:t>3</w:t>
            </w:r>
            <w:r w:rsidRPr="00970F0C">
              <w:rPr>
                <w:rFonts w:ascii="Times New Roman" w:hAnsi="Times New Roman" w:cs="Times New Roman"/>
                <w:noProof/>
                <w:webHidden/>
              </w:rPr>
              <w:fldChar w:fldCharType="end"/>
            </w:r>
          </w:hyperlink>
        </w:p>
        <w:p w14:paraId="23C63DDF" w14:textId="7AA01023" w:rsidR="00970F0C" w:rsidRPr="00970F0C" w:rsidRDefault="00000000">
          <w:pPr>
            <w:pStyle w:val="TOC1"/>
            <w:tabs>
              <w:tab w:val="right" w:leader="dot" w:pos="9350"/>
            </w:tabs>
            <w:rPr>
              <w:rFonts w:ascii="Times New Roman" w:eastAsiaTheme="minorEastAsia" w:hAnsi="Times New Roman" w:cs="Times New Roman"/>
              <w:noProof/>
            </w:rPr>
          </w:pPr>
          <w:hyperlink w:anchor="_Toc126164353" w:history="1">
            <w:r w:rsidR="00970F0C" w:rsidRPr="00970F0C">
              <w:rPr>
                <w:rStyle w:val="Hyperlink"/>
                <w:rFonts w:ascii="Times New Roman" w:hAnsi="Times New Roman" w:cs="Times New Roman"/>
                <w:noProof/>
              </w:rPr>
              <w:t>Features in OpenEMR</w:t>
            </w:r>
            <w:r w:rsidR="00970F0C" w:rsidRPr="00970F0C">
              <w:rPr>
                <w:rFonts w:ascii="Times New Roman" w:hAnsi="Times New Roman" w:cs="Times New Roman"/>
                <w:noProof/>
                <w:webHidden/>
              </w:rPr>
              <w:tab/>
            </w:r>
            <w:r w:rsidR="00970F0C" w:rsidRPr="00970F0C">
              <w:rPr>
                <w:rFonts w:ascii="Times New Roman" w:hAnsi="Times New Roman" w:cs="Times New Roman"/>
                <w:noProof/>
                <w:webHidden/>
              </w:rPr>
              <w:fldChar w:fldCharType="begin"/>
            </w:r>
            <w:r w:rsidR="00970F0C" w:rsidRPr="00970F0C">
              <w:rPr>
                <w:rFonts w:ascii="Times New Roman" w:hAnsi="Times New Roman" w:cs="Times New Roman"/>
                <w:noProof/>
                <w:webHidden/>
              </w:rPr>
              <w:instrText xml:space="preserve"> PAGEREF _Toc126164353 \h </w:instrText>
            </w:r>
            <w:r w:rsidR="00970F0C" w:rsidRPr="00970F0C">
              <w:rPr>
                <w:rFonts w:ascii="Times New Roman" w:hAnsi="Times New Roman" w:cs="Times New Roman"/>
                <w:noProof/>
                <w:webHidden/>
              </w:rPr>
            </w:r>
            <w:r w:rsidR="00970F0C" w:rsidRPr="00970F0C">
              <w:rPr>
                <w:rFonts w:ascii="Times New Roman" w:hAnsi="Times New Roman" w:cs="Times New Roman"/>
                <w:noProof/>
                <w:webHidden/>
              </w:rPr>
              <w:fldChar w:fldCharType="separate"/>
            </w:r>
            <w:r w:rsidR="00970F0C" w:rsidRPr="00970F0C">
              <w:rPr>
                <w:rFonts w:ascii="Times New Roman" w:hAnsi="Times New Roman" w:cs="Times New Roman"/>
                <w:noProof/>
                <w:webHidden/>
              </w:rPr>
              <w:t>3</w:t>
            </w:r>
            <w:r w:rsidR="00970F0C" w:rsidRPr="00970F0C">
              <w:rPr>
                <w:rFonts w:ascii="Times New Roman" w:hAnsi="Times New Roman" w:cs="Times New Roman"/>
                <w:noProof/>
                <w:webHidden/>
              </w:rPr>
              <w:fldChar w:fldCharType="end"/>
            </w:r>
          </w:hyperlink>
        </w:p>
        <w:p w14:paraId="07405B33" w14:textId="4A606D74" w:rsidR="00970F0C" w:rsidRPr="00970F0C" w:rsidRDefault="00000000">
          <w:pPr>
            <w:pStyle w:val="TOC2"/>
            <w:tabs>
              <w:tab w:val="right" w:leader="dot" w:pos="9350"/>
            </w:tabs>
            <w:rPr>
              <w:rFonts w:ascii="Times New Roman" w:eastAsiaTheme="minorEastAsia" w:hAnsi="Times New Roman" w:cs="Times New Roman"/>
              <w:noProof/>
            </w:rPr>
          </w:pPr>
          <w:hyperlink w:anchor="_Toc126164354" w:history="1">
            <w:r w:rsidR="00970F0C" w:rsidRPr="00970F0C">
              <w:rPr>
                <w:rStyle w:val="Hyperlink"/>
                <w:rFonts w:ascii="Times New Roman" w:hAnsi="Times New Roman" w:cs="Times New Roman"/>
                <w:noProof/>
              </w:rPr>
              <w:t>Medical Billing</w:t>
            </w:r>
            <w:r w:rsidR="00970F0C" w:rsidRPr="00970F0C">
              <w:rPr>
                <w:rFonts w:ascii="Times New Roman" w:hAnsi="Times New Roman" w:cs="Times New Roman"/>
                <w:noProof/>
                <w:webHidden/>
              </w:rPr>
              <w:tab/>
            </w:r>
            <w:r w:rsidR="00970F0C" w:rsidRPr="00970F0C">
              <w:rPr>
                <w:rFonts w:ascii="Times New Roman" w:hAnsi="Times New Roman" w:cs="Times New Roman"/>
                <w:noProof/>
                <w:webHidden/>
              </w:rPr>
              <w:fldChar w:fldCharType="begin"/>
            </w:r>
            <w:r w:rsidR="00970F0C" w:rsidRPr="00970F0C">
              <w:rPr>
                <w:rFonts w:ascii="Times New Roman" w:hAnsi="Times New Roman" w:cs="Times New Roman"/>
                <w:noProof/>
                <w:webHidden/>
              </w:rPr>
              <w:instrText xml:space="preserve"> PAGEREF _Toc126164354 \h </w:instrText>
            </w:r>
            <w:r w:rsidR="00970F0C" w:rsidRPr="00970F0C">
              <w:rPr>
                <w:rFonts w:ascii="Times New Roman" w:hAnsi="Times New Roman" w:cs="Times New Roman"/>
                <w:noProof/>
                <w:webHidden/>
              </w:rPr>
            </w:r>
            <w:r w:rsidR="00970F0C" w:rsidRPr="00970F0C">
              <w:rPr>
                <w:rFonts w:ascii="Times New Roman" w:hAnsi="Times New Roman" w:cs="Times New Roman"/>
                <w:noProof/>
                <w:webHidden/>
              </w:rPr>
              <w:fldChar w:fldCharType="separate"/>
            </w:r>
            <w:r w:rsidR="00970F0C" w:rsidRPr="00970F0C">
              <w:rPr>
                <w:rFonts w:ascii="Times New Roman" w:hAnsi="Times New Roman" w:cs="Times New Roman"/>
                <w:noProof/>
                <w:webHidden/>
              </w:rPr>
              <w:t>3</w:t>
            </w:r>
            <w:r w:rsidR="00970F0C" w:rsidRPr="00970F0C">
              <w:rPr>
                <w:rFonts w:ascii="Times New Roman" w:hAnsi="Times New Roman" w:cs="Times New Roman"/>
                <w:noProof/>
                <w:webHidden/>
              </w:rPr>
              <w:fldChar w:fldCharType="end"/>
            </w:r>
          </w:hyperlink>
        </w:p>
        <w:p w14:paraId="4AF75612" w14:textId="2446D81B" w:rsidR="00970F0C" w:rsidRPr="00970F0C" w:rsidRDefault="00000000">
          <w:pPr>
            <w:pStyle w:val="TOC2"/>
            <w:tabs>
              <w:tab w:val="right" w:leader="dot" w:pos="9350"/>
            </w:tabs>
            <w:rPr>
              <w:rFonts w:ascii="Times New Roman" w:eastAsiaTheme="minorEastAsia" w:hAnsi="Times New Roman" w:cs="Times New Roman"/>
              <w:noProof/>
            </w:rPr>
          </w:pPr>
          <w:hyperlink w:anchor="_Toc126164355" w:history="1">
            <w:r w:rsidR="00970F0C" w:rsidRPr="00970F0C">
              <w:rPr>
                <w:rStyle w:val="Hyperlink"/>
                <w:rFonts w:ascii="Times New Roman" w:hAnsi="Times New Roman" w:cs="Times New Roman"/>
                <w:noProof/>
              </w:rPr>
              <w:t>Patient Portal</w:t>
            </w:r>
            <w:r w:rsidR="00970F0C" w:rsidRPr="00970F0C">
              <w:rPr>
                <w:rFonts w:ascii="Times New Roman" w:hAnsi="Times New Roman" w:cs="Times New Roman"/>
                <w:noProof/>
                <w:webHidden/>
              </w:rPr>
              <w:tab/>
            </w:r>
            <w:r w:rsidR="00970F0C" w:rsidRPr="00970F0C">
              <w:rPr>
                <w:rFonts w:ascii="Times New Roman" w:hAnsi="Times New Roman" w:cs="Times New Roman"/>
                <w:noProof/>
                <w:webHidden/>
              </w:rPr>
              <w:fldChar w:fldCharType="begin"/>
            </w:r>
            <w:r w:rsidR="00970F0C" w:rsidRPr="00970F0C">
              <w:rPr>
                <w:rFonts w:ascii="Times New Roman" w:hAnsi="Times New Roman" w:cs="Times New Roman"/>
                <w:noProof/>
                <w:webHidden/>
              </w:rPr>
              <w:instrText xml:space="preserve"> PAGEREF _Toc126164355 \h </w:instrText>
            </w:r>
            <w:r w:rsidR="00970F0C" w:rsidRPr="00970F0C">
              <w:rPr>
                <w:rFonts w:ascii="Times New Roman" w:hAnsi="Times New Roman" w:cs="Times New Roman"/>
                <w:noProof/>
                <w:webHidden/>
              </w:rPr>
            </w:r>
            <w:r w:rsidR="00970F0C" w:rsidRPr="00970F0C">
              <w:rPr>
                <w:rFonts w:ascii="Times New Roman" w:hAnsi="Times New Roman" w:cs="Times New Roman"/>
                <w:noProof/>
                <w:webHidden/>
              </w:rPr>
              <w:fldChar w:fldCharType="separate"/>
            </w:r>
            <w:r w:rsidR="00970F0C" w:rsidRPr="00970F0C">
              <w:rPr>
                <w:rFonts w:ascii="Times New Roman" w:hAnsi="Times New Roman" w:cs="Times New Roman"/>
                <w:noProof/>
                <w:webHidden/>
              </w:rPr>
              <w:t>3</w:t>
            </w:r>
            <w:r w:rsidR="00970F0C" w:rsidRPr="00970F0C">
              <w:rPr>
                <w:rFonts w:ascii="Times New Roman" w:hAnsi="Times New Roman" w:cs="Times New Roman"/>
                <w:noProof/>
                <w:webHidden/>
              </w:rPr>
              <w:fldChar w:fldCharType="end"/>
            </w:r>
          </w:hyperlink>
        </w:p>
        <w:p w14:paraId="0DADC044" w14:textId="7DD91711" w:rsidR="00970F0C" w:rsidRPr="00970F0C" w:rsidRDefault="00000000">
          <w:pPr>
            <w:pStyle w:val="TOC2"/>
            <w:tabs>
              <w:tab w:val="right" w:leader="dot" w:pos="9350"/>
            </w:tabs>
            <w:rPr>
              <w:rFonts w:ascii="Times New Roman" w:eastAsiaTheme="minorEastAsia" w:hAnsi="Times New Roman" w:cs="Times New Roman"/>
              <w:noProof/>
            </w:rPr>
          </w:pPr>
          <w:hyperlink w:anchor="_Toc126164356" w:history="1">
            <w:r w:rsidR="00970F0C" w:rsidRPr="00970F0C">
              <w:rPr>
                <w:rStyle w:val="Hyperlink"/>
                <w:rFonts w:ascii="Times New Roman" w:hAnsi="Times New Roman" w:cs="Times New Roman"/>
                <w:noProof/>
              </w:rPr>
              <w:t>Reports</w:t>
            </w:r>
            <w:r w:rsidR="00970F0C" w:rsidRPr="00970F0C">
              <w:rPr>
                <w:rFonts w:ascii="Times New Roman" w:hAnsi="Times New Roman" w:cs="Times New Roman"/>
                <w:noProof/>
                <w:webHidden/>
              </w:rPr>
              <w:tab/>
            </w:r>
            <w:r w:rsidR="00970F0C" w:rsidRPr="00970F0C">
              <w:rPr>
                <w:rFonts w:ascii="Times New Roman" w:hAnsi="Times New Roman" w:cs="Times New Roman"/>
                <w:noProof/>
                <w:webHidden/>
              </w:rPr>
              <w:fldChar w:fldCharType="begin"/>
            </w:r>
            <w:r w:rsidR="00970F0C" w:rsidRPr="00970F0C">
              <w:rPr>
                <w:rFonts w:ascii="Times New Roman" w:hAnsi="Times New Roman" w:cs="Times New Roman"/>
                <w:noProof/>
                <w:webHidden/>
              </w:rPr>
              <w:instrText xml:space="preserve"> PAGEREF _Toc126164356 \h </w:instrText>
            </w:r>
            <w:r w:rsidR="00970F0C" w:rsidRPr="00970F0C">
              <w:rPr>
                <w:rFonts w:ascii="Times New Roman" w:hAnsi="Times New Roman" w:cs="Times New Roman"/>
                <w:noProof/>
                <w:webHidden/>
              </w:rPr>
            </w:r>
            <w:r w:rsidR="00970F0C" w:rsidRPr="00970F0C">
              <w:rPr>
                <w:rFonts w:ascii="Times New Roman" w:hAnsi="Times New Roman" w:cs="Times New Roman"/>
                <w:noProof/>
                <w:webHidden/>
              </w:rPr>
              <w:fldChar w:fldCharType="separate"/>
            </w:r>
            <w:r w:rsidR="00970F0C" w:rsidRPr="00970F0C">
              <w:rPr>
                <w:rFonts w:ascii="Times New Roman" w:hAnsi="Times New Roman" w:cs="Times New Roman"/>
                <w:noProof/>
                <w:webHidden/>
              </w:rPr>
              <w:t>4</w:t>
            </w:r>
            <w:r w:rsidR="00970F0C" w:rsidRPr="00970F0C">
              <w:rPr>
                <w:rFonts w:ascii="Times New Roman" w:hAnsi="Times New Roman" w:cs="Times New Roman"/>
                <w:noProof/>
                <w:webHidden/>
              </w:rPr>
              <w:fldChar w:fldCharType="end"/>
            </w:r>
          </w:hyperlink>
        </w:p>
        <w:p w14:paraId="5849C5DA" w14:textId="0C56EA14" w:rsidR="00970F0C" w:rsidRPr="00970F0C" w:rsidRDefault="00970F0C">
          <w:pPr>
            <w:rPr>
              <w:rFonts w:ascii="Times New Roman" w:hAnsi="Times New Roman" w:cs="Times New Roman"/>
            </w:rPr>
          </w:pPr>
          <w:r w:rsidRPr="00970F0C">
            <w:rPr>
              <w:rFonts w:ascii="Times New Roman" w:hAnsi="Times New Roman" w:cs="Times New Roman"/>
              <w:b/>
              <w:bCs/>
              <w:noProof/>
            </w:rPr>
            <w:fldChar w:fldCharType="end"/>
          </w:r>
        </w:p>
      </w:sdtContent>
    </w:sdt>
    <w:p w14:paraId="2640EFA5" w14:textId="77777777" w:rsidR="00920F8F" w:rsidRPr="00970F0C" w:rsidRDefault="00920F8F" w:rsidP="00920F8F">
      <w:pPr>
        <w:rPr>
          <w:rFonts w:ascii="Times New Roman" w:hAnsi="Times New Roman" w:cs="Times New Roman"/>
          <w:b/>
          <w:bCs/>
          <w:sz w:val="16"/>
          <w:szCs w:val="16"/>
        </w:rPr>
      </w:pPr>
    </w:p>
    <w:p w14:paraId="022D259E" w14:textId="36C1E210" w:rsidR="00920F8F" w:rsidRPr="00970F0C" w:rsidRDefault="00920F8F" w:rsidP="00920F8F">
      <w:pPr>
        <w:rPr>
          <w:rFonts w:ascii="Times New Roman" w:hAnsi="Times New Roman" w:cs="Times New Roman"/>
          <w:b/>
          <w:bCs/>
        </w:rPr>
      </w:pPr>
      <w:r w:rsidRPr="00970F0C">
        <w:rPr>
          <w:rFonts w:ascii="Times New Roman" w:hAnsi="Times New Roman" w:cs="Times New Roman"/>
          <w:b/>
          <w:bCs/>
        </w:rPr>
        <w:br w:type="page"/>
      </w:r>
    </w:p>
    <w:p w14:paraId="744F2D9D" w14:textId="32705C2E" w:rsidR="006D3D84" w:rsidRDefault="006D3D84" w:rsidP="00970F0C">
      <w:pPr>
        <w:pStyle w:val="Heading1"/>
        <w:rPr>
          <w:rFonts w:ascii="Times New Roman" w:hAnsi="Times New Roman" w:cs="Times New Roman"/>
        </w:rPr>
      </w:pPr>
      <w:bookmarkStart w:id="0" w:name="_Toc126164352"/>
      <w:r w:rsidRPr="00970F0C">
        <w:rPr>
          <w:rFonts w:ascii="Times New Roman" w:hAnsi="Times New Roman" w:cs="Times New Roman"/>
        </w:rPr>
        <w:lastRenderedPageBreak/>
        <w:t>Introduction</w:t>
      </w:r>
      <w:bookmarkEnd w:id="0"/>
    </w:p>
    <w:p w14:paraId="1B8D224F" w14:textId="77777777" w:rsidR="002B6A0D" w:rsidRPr="002B6A0D" w:rsidRDefault="002B6A0D" w:rsidP="002B6A0D"/>
    <w:p w14:paraId="6F0A84FE" w14:textId="1474DE85" w:rsidR="006D3D84" w:rsidRPr="00970F0C" w:rsidRDefault="006D3D84" w:rsidP="006D3D84">
      <w:pPr>
        <w:pStyle w:val="NormalWeb"/>
        <w:spacing w:before="0" w:beforeAutospacing="0" w:after="0" w:afterAutospacing="0"/>
        <w:rPr>
          <w:color w:val="0E101A"/>
        </w:rPr>
      </w:pPr>
      <w:r w:rsidRPr="00970F0C">
        <w:rPr>
          <w:color w:val="0E101A"/>
        </w:rPr>
        <w:t>OpenEMR is an open-source electronic health record (EHR) and medical practice management solution. The</w:t>
      </w:r>
      <w:r w:rsidR="00304562" w:rsidRPr="00970F0C">
        <w:rPr>
          <w:color w:val="0E101A"/>
        </w:rPr>
        <w:t xml:space="preserve"> OpenEMR</w:t>
      </w:r>
      <w:r w:rsidRPr="00970F0C">
        <w:rPr>
          <w:color w:val="0E101A"/>
        </w:rPr>
        <w:t> provides users, developers, and administrators with information about the product, features, and resources. The website serves as a hub for the OpenEMR community and offers resources such as documentation, tutorials, forums, and downloads.</w:t>
      </w:r>
    </w:p>
    <w:p w14:paraId="019CF14C" w14:textId="77777777" w:rsidR="006D3D84" w:rsidRPr="00970F0C" w:rsidRDefault="006D3D84" w:rsidP="006D3D84">
      <w:pPr>
        <w:pStyle w:val="NormalWeb"/>
        <w:spacing w:before="0" w:beforeAutospacing="0" w:after="0" w:afterAutospacing="0"/>
        <w:rPr>
          <w:color w:val="0E101A"/>
        </w:rPr>
      </w:pPr>
      <w:r w:rsidRPr="00970F0C">
        <w:rPr>
          <w:color w:val="0E101A"/>
        </w:rPr>
        <w:t>OpenEMR is designed to meet the needs of small to large medical practices and healthcare organizations. It includes patient management, appointment scheduling, clinical decision support, prescription writing, and billing and insurance management. OpenEMR is customizable and can be adapted to meet each organization's unique needs.</w:t>
      </w:r>
    </w:p>
    <w:p w14:paraId="7CE1AF2C" w14:textId="77777777" w:rsidR="006D3D84" w:rsidRPr="00970F0C" w:rsidRDefault="006D3D84" w:rsidP="006D3D84">
      <w:pPr>
        <w:pStyle w:val="NormalWeb"/>
        <w:spacing w:before="0" w:beforeAutospacing="0" w:after="0" w:afterAutospacing="0"/>
        <w:rPr>
          <w:color w:val="0E101A"/>
        </w:rPr>
      </w:pPr>
      <w:r w:rsidRPr="00970F0C">
        <w:rPr>
          <w:color w:val="0E101A"/>
        </w:rPr>
        <w:t>The website offers resources for users, such as tutorials, forums, and user guides to help them effectively use the software. Developers and administrators can find resources such as the software development kit, issue tracking, and project management tools.</w:t>
      </w:r>
    </w:p>
    <w:p w14:paraId="30403AAC" w14:textId="1962BB87" w:rsidR="006D3D84" w:rsidRPr="00970F0C" w:rsidRDefault="00304562">
      <w:pPr>
        <w:rPr>
          <w:rFonts w:ascii="Times New Roman" w:hAnsi="Times New Roman" w:cs="Times New Roman"/>
          <w:b/>
          <w:bCs/>
        </w:rPr>
      </w:pPr>
      <w:r w:rsidRPr="00970F0C">
        <w:rPr>
          <w:rFonts w:ascii="Times New Roman" w:eastAsia="Times New Roman" w:hAnsi="Times New Roman" w:cs="Times New Roman"/>
          <w:color w:val="0E101A"/>
          <w:sz w:val="24"/>
          <w:szCs w:val="24"/>
        </w:rPr>
        <w:t>Overall, it is a comprehensive resource for anyone interested in learning about, using, or contributing to the OpenEMR project.</w:t>
      </w:r>
    </w:p>
    <w:p w14:paraId="4E068E9B" w14:textId="27FB99E7" w:rsidR="002B6A0D" w:rsidRDefault="00C8367C" w:rsidP="002B6A0D">
      <w:pPr>
        <w:pStyle w:val="Heading1"/>
        <w:rPr>
          <w:rFonts w:ascii="Times New Roman" w:hAnsi="Times New Roman" w:cs="Times New Roman"/>
        </w:rPr>
      </w:pPr>
      <w:bookmarkStart w:id="1" w:name="_Toc126164353"/>
      <w:r w:rsidRPr="00970F0C">
        <w:rPr>
          <w:rFonts w:ascii="Times New Roman" w:hAnsi="Times New Roman" w:cs="Times New Roman"/>
        </w:rPr>
        <w:t>Features in OpenEMR</w:t>
      </w:r>
      <w:bookmarkEnd w:id="1"/>
    </w:p>
    <w:p w14:paraId="7A4BEFFB" w14:textId="77777777" w:rsidR="002B6A0D" w:rsidRPr="002B6A0D" w:rsidRDefault="002B6A0D" w:rsidP="002B6A0D"/>
    <w:p w14:paraId="7B5EB0B9" w14:textId="0F53E09C" w:rsidR="00C8367C" w:rsidRPr="00970F0C" w:rsidRDefault="006E4A17">
      <w:pPr>
        <w:rPr>
          <w:rFonts w:ascii="Times New Roman" w:hAnsi="Times New Roman" w:cs="Times New Roman"/>
        </w:rPr>
      </w:pPr>
      <w:r w:rsidRPr="00970F0C">
        <w:rPr>
          <w:rFonts w:ascii="Times New Roman" w:hAnsi="Times New Roman" w:cs="Times New Roman"/>
        </w:rPr>
        <w:t>The Features in OpenEMR are as follows</w:t>
      </w:r>
    </w:p>
    <w:p w14:paraId="1FDC8AB4" w14:textId="6DADB841" w:rsidR="006E4A17" w:rsidRPr="00970F0C" w:rsidRDefault="006E4A17" w:rsidP="006E4A17">
      <w:pPr>
        <w:pStyle w:val="NoSpacing"/>
        <w:numPr>
          <w:ilvl w:val="0"/>
          <w:numId w:val="1"/>
        </w:numPr>
        <w:rPr>
          <w:rFonts w:ascii="Times New Roman" w:hAnsi="Times New Roman" w:cs="Times New Roman"/>
        </w:rPr>
      </w:pPr>
      <w:r w:rsidRPr="00970F0C">
        <w:rPr>
          <w:rFonts w:ascii="Times New Roman" w:hAnsi="Times New Roman" w:cs="Times New Roman"/>
        </w:rPr>
        <w:t>Medical Billing</w:t>
      </w:r>
    </w:p>
    <w:p w14:paraId="3C82846F" w14:textId="2ABCB0B9" w:rsidR="006E4A17" w:rsidRPr="00970F0C" w:rsidRDefault="006E4A17" w:rsidP="006E4A17">
      <w:pPr>
        <w:pStyle w:val="NoSpacing"/>
        <w:numPr>
          <w:ilvl w:val="0"/>
          <w:numId w:val="1"/>
        </w:numPr>
        <w:rPr>
          <w:rFonts w:ascii="Times New Roman" w:hAnsi="Times New Roman" w:cs="Times New Roman"/>
        </w:rPr>
      </w:pPr>
      <w:r w:rsidRPr="00970F0C">
        <w:rPr>
          <w:rFonts w:ascii="Times New Roman" w:hAnsi="Times New Roman" w:cs="Times New Roman"/>
        </w:rPr>
        <w:t>Patient Portal</w:t>
      </w:r>
    </w:p>
    <w:p w14:paraId="23D485F8" w14:textId="00B4C435" w:rsidR="006E4A17" w:rsidRPr="00970F0C" w:rsidRDefault="006E4A17" w:rsidP="006E4A17">
      <w:pPr>
        <w:pStyle w:val="NoSpacing"/>
        <w:numPr>
          <w:ilvl w:val="0"/>
          <w:numId w:val="1"/>
        </w:numPr>
        <w:rPr>
          <w:rFonts w:ascii="Times New Roman" w:hAnsi="Times New Roman" w:cs="Times New Roman"/>
        </w:rPr>
      </w:pPr>
      <w:r w:rsidRPr="00970F0C">
        <w:rPr>
          <w:rFonts w:ascii="Times New Roman" w:hAnsi="Times New Roman" w:cs="Times New Roman"/>
        </w:rPr>
        <w:t>Reports</w:t>
      </w:r>
    </w:p>
    <w:p w14:paraId="31D7D8F5" w14:textId="40AAEF38" w:rsidR="006E4A17" w:rsidRPr="00970F0C" w:rsidRDefault="006E4A17" w:rsidP="006E4A17">
      <w:pPr>
        <w:pStyle w:val="NoSpacing"/>
        <w:rPr>
          <w:rFonts w:ascii="Times New Roman" w:hAnsi="Times New Roman" w:cs="Times New Roman"/>
        </w:rPr>
      </w:pPr>
    </w:p>
    <w:p w14:paraId="59B910E7" w14:textId="6C99C20C" w:rsidR="006E4A17" w:rsidRDefault="006E4A17" w:rsidP="00970F0C">
      <w:pPr>
        <w:pStyle w:val="Heading2"/>
        <w:rPr>
          <w:rFonts w:ascii="Times New Roman" w:hAnsi="Times New Roman" w:cs="Times New Roman"/>
        </w:rPr>
      </w:pPr>
      <w:bookmarkStart w:id="2" w:name="_Toc126164354"/>
      <w:r w:rsidRPr="00970F0C">
        <w:rPr>
          <w:rFonts w:ascii="Times New Roman" w:hAnsi="Times New Roman" w:cs="Times New Roman"/>
        </w:rPr>
        <w:t>Medical Billing</w:t>
      </w:r>
      <w:bookmarkEnd w:id="2"/>
    </w:p>
    <w:p w14:paraId="61B63C38" w14:textId="77777777" w:rsidR="002B6A0D" w:rsidRPr="002B6A0D" w:rsidRDefault="002B6A0D" w:rsidP="002B6A0D"/>
    <w:p w14:paraId="1C0B50F9" w14:textId="77777777" w:rsidR="006E4A17" w:rsidRPr="00970F0C" w:rsidRDefault="006E4A17" w:rsidP="006E4A17">
      <w:pPr>
        <w:pStyle w:val="NoSpacing"/>
        <w:rPr>
          <w:rFonts w:ascii="Times New Roman" w:hAnsi="Times New Roman" w:cs="Times New Roman"/>
        </w:rPr>
      </w:pPr>
      <w:r w:rsidRPr="00970F0C">
        <w:rPr>
          <w:rFonts w:ascii="Times New Roman" w:hAnsi="Times New Roman" w:cs="Times New Roman"/>
        </w:rPr>
        <w:t xml:space="preserve">OpenEMR is a popular open-source electronic medical record (EMR) system that provides medical billing functionality. It allows healthcare providers to manage patient records, appointments, prescription orders, and billing information in one central location. </w:t>
      </w:r>
    </w:p>
    <w:p w14:paraId="688F4D72" w14:textId="7AD605EE" w:rsidR="006E4A17" w:rsidRPr="00970F0C" w:rsidRDefault="006E4A17" w:rsidP="006E4A17">
      <w:pPr>
        <w:pStyle w:val="NoSpacing"/>
        <w:rPr>
          <w:rFonts w:ascii="Times New Roman" w:hAnsi="Times New Roman" w:cs="Times New Roman"/>
        </w:rPr>
      </w:pPr>
      <w:r w:rsidRPr="00970F0C">
        <w:rPr>
          <w:rFonts w:ascii="Times New Roman" w:hAnsi="Times New Roman" w:cs="Times New Roman"/>
        </w:rPr>
        <w:t>OpenEMR supports billing features such as insurance claim submissions, patient billing statements, and payment tracking. It integrates with multiple payment gateways and allows for customizable billing codes and fee schedules. Medical billing in OpenEMR can help healthcare providers streamline their billing processes, reduce administrative costs, and increase efficiency.</w:t>
      </w:r>
    </w:p>
    <w:p w14:paraId="7FAE6688" w14:textId="60A05EF9" w:rsidR="006E4A17" w:rsidRPr="00970F0C" w:rsidRDefault="006E4A17" w:rsidP="006E4A17">
      <w:pPr>
        <w:pStyle w:val="NoSpacing"/>
        <w:rPr>
          <w:rFonts w:ascii="Times New Roman" w:hAnsi="Times New Roman" w:cs="Times New Roman"/>
        </w:rPr>
      </w:pPr>
    </w:p>
    <w:p w14:paraId="03686222" w14:textId="273125E8" w:rsidR="006E4A17" w:rsidRDefault="006E4A17" w:rsidP="00970F0C">
      <w:pPr>
        <w:pStyle w:val="Heading2"/>
        <w:rPr>
          <w:rFonts w:ascii="Times New Roman" w:hAnsi="Times New Roman" w:cs="Times New Roman"/>
        </w:rPr>
      </w:pPr>
      <w:bookmarkStart w:id="3" w:name="_Toc126164355"/>
      <w:r w:rsidRPr="00970F0C">
        <w:rPr>
          <w:rFonts w:ascii="Times New Roman" w:hAnsi="Times New Roman" w:cs="Times New Roman"/>
        </w:rPr>
        <w:t>Patient Portal</w:t>
      </w:r>
      <w:bookmarkEnd w:id="3"/>
    </w:p>
    <w:p w14:paraId="23880EE6" w14:textId="77777777" w:rsidR="002B6A0D" w:rsidRPr="002B6A0D" w:rsidRDefault="002B6A0D" w:rsidP="002B6A0D"/>
    <w:p w14:paraId="31086F42" w14:textId="77777777" w:rsidR="00C87368" w:rsidRPr="00970F0C" w:rsidRDefault="00C87368" w:rsidP="00C87368">
      <w:pPr>
        <w:pStyle w:val="NoSpacing"/>
        <w:rPr>
          <w:rFonts w:ascii="Times New Roman" w:hAnsi="Times New Roman" w:cs="Times New Roman"/>
        </w:rPr>
      </w:pPr>
      <w:r w:rsidRPr="00970F0C">
        <w:rPr>
          <w:rFonts w:ascii="Times New Roman" w:hAnsi="Times New Roman" w:cs="Times New Roman"/>
        </w:rPr>
        <w:t xml:space="preserve">OpenEMR has a built-in patient portal that allows patients to access their health information and interact with their healthcare providers. The patient portal in OpenEMR provides patients with secure access to their medical records, appointment information, and test results. They can also use the portal to communicate with their provider, request prescription renewals, and make online payments. </w:t>
      </w:r>
    </w:p>
    <w:p w14:paraId="2BA0FD09" w14:textId="77777777" w:rsidR="00C87368" w:rsidRPr="00970F0C" w:rsidRDefault="00C87368" w:rsidP="00C87368">
      <w:pPr>
        <w:pStyle w:val="NoSpacing"/>
        <w:rPr>
          <w:rFonts w:ascii="Times New Roman" w:hAnsi="Times New Roman" w:cs="Times New Roman"/>
        </w:rPr>
      </w:pPr>
      <w:r w:rsidRPr="00970F0C">
        <w:rPr>
          <w:rFonts w:ascii="Times New Roman" w:hAnsi="Times New Roman" w:cs="Times New Roman"/>
        </w:rPr>
        <w:t>OpenEMR can help improve patient engagement, increase patient satisfaction, and reduce the administrative workload for healthcare providers.</w:t>
      </w:r>
    </w:p>
    <w:p w14:paraId="1EF30CCE" w14:textId="2D55CC0A" w:rsidR="006E4A17" w:rsidRPr="00970F0C" w:rsidRDefault="00C87368" w:rsidP="00C87368">
      <w:pPr>
        <w:pStyle w:val="NoSpacing"/>
        <w:rPr>
          <w:rFonts w:ascii="Times New Roman" w:hAnsi="Times New Roman" w:cs="Times New Roman"/>
        </w:rPr>
      </w:pPr>
      <w:r w:rsidRPr="00970F0C">
        <w:rPr>
          <w:rFonts w:ascii="Times New Roman" w:hAnsi="Times New Roman" w:cs="Times New Roman"/>
        </w:rPr>
        <w:lastRenderedPageBreak/>
        <w:t>The patient portal in OpenEMR can be customized to meet the specific needs of individual practices. This can be integrated with other systems, such as telemedicine platforms, for a seamless patient experience.</w:t>
      </w:r>
    </w:p>
    <w:p w14:paraId="4F8154BA" w14:textId="2F9C4D25" w:rsidR="00C87368" w:rsidRPr="00970F0C" w:rsidRDefault="00C87368" w:rsidP="00C87368">
      <w:pPr>
        <w:pStyle w:val="NoSpacing"/>
        <w:rPr>
          <w:rFonts w:ascii="Times New Roman" w:hAnsi="Times New Roman" w:cs="Times New Roman"/>
        </w:rPr>
      </w:pPr>
    </w:p>
    <w:p w14:paraId="4EE66E00" w14:textId="77777777" w:rsidR="00970F0C" w:rsidRPr="00970F0C" w:rsidRDefault="00970F0C" w:rsidP="00C87368">
      <w:pPr>
        <w:pStyle w:val="NoSpacing"/>
        <w:rPr>
          <w:rFonts w:ascii="Times New Roman" w:hAnsi="Times New Roman" w:cs="Times New Roman"/>
          <w:b/>
          <w:bCs/>
        </w:rPr>
      </w:pPr>
    </w:p>
    <w:p w14:paraId="7EBC93E8" w14:textId="77777777" w:rsidR="00970F0C" w:rsidRPr="00970F0C" w:rsidRDefault="00970F0C" w:rsidP="00C87368">
      <w:pPr>
        <w:pStyle w:val="NoSpacing"/>
        <w:rPr>
          <w:rFonts w:ascii="Times New Roman" w:hAnsi="Times New Roman" w:cs="Times New Roman"/>
          <w:b/>
          <w:bCs/>
        </w:rPr>
      </w:pPr>
    </w:p>
    <w:p w14:paraId="1A485BA9" w14:textId="35B04A53" w:rsidR="00C87368" w:rsidRDefault="00C87368" w:rsidP="00970F0C">
      <w:pPr>
        <w:pStyle w:val="Heading2"/>
        <w:rPr>
          <w:rFonts w:ascii="Times New Roman" w:hAnsi="Times New Roman" w:cs="Times New Roman"/>
        </w:rPr>
      </w:pPr>
      <w:bookmarkStart w:id="4" w:name="_Toc126164356"/>
      <w:r w:rsidRPr="00970F0C">
        <w:rPr>
          <w:rFonts w:ascii="Times New Roman" w:hAnsi="Times New Roman" w:cs="Times New Roman"/>
        </w:rPr>
        <w:t>Reports</w:t>
      </w:r>
      <w:bookmarkEnd w:id="4"/>
    </w:p>
    <w:p w14:paraId="4720118B" w14:textId="77777777" w:rsidR="002B6A0D" w:rsidRPr="002B6A0D" w:rsidRDefault="002B6A0D" w:rsidP="002B6A0D"/>
    <w:p w14:paraId="4CF4DF0D" w14:textId="77777777" w:rsidR="00C87368" w:rsidRPr="00C87368" w:rsidRDefault="00C87368" w:rsidP="00C87368">
      <w:pPr>
        <w:spacing w:after="0" w:line="240" w:lineRule="auto"/>
        <w:rPr>
          <w:rFonts w:ascii="Times New Roman" w:eastAsia="Times New Roman" w:hAnsi="Times New Roman" w:cs="Times New Roman"/>
          <w:color w:val="0E101A"/>
          <w:sz w:val="24"/>
          <w:szCs w:val="24"/>
        </w:rPr>
      </w:pPr>
      <w:r w:rsidRPr="00C87368">
        <w:rPr>
          <w:rFonts w:ascii="Times New Roman" w:eastAsia="Times New Roman" w:hAnsi="Times New Roman" w:cs="Times New Roman"/>
          <w:color w:val="0E101A"/>
          <w:sz w:val="24"/>
          <w:szCs w:val="24"/>
        </w:rPr>
        <w:t>OpenEMR provides a variety of reports that help healthcare providers better understand and manage their patient data. These reports can be customized to meet the specific needs of individual practices and can be generated for different purposes, such as financial reporting, patient demographics, and clinical data analysis. Some of the most commonly used reports in OpenEMR include:</w:t>
      </w:r>
    </w:p>
    <w:p w14:paraId="691DCF43" w14:textId="77777777" w:rsidR="00C87368" w:rsidRPr="00C87368" w:rsidRDefault="00C87368" w:rsidP="00C87368">
      <w:pPr>
        <w:numPr>
          <w:ilvl w:val="0"/>
          <w:numId w:val="2"/>
        </w:numPr>
        <w:spacing w:after="0" w:line="240" w:lineRule="auto"/>
        <w:rPr>
          <w:rFonts w:ascii="Times New Roman" w:eastAsia="Times New Roman" w:hAnsi="Times New Roman" w:cs="Times New Roman"/>
          <w:color w:val="0E101A"/>
          <w:sz w:val="24"/>
          <w:szCs w:val="24"/>
        </w:rPr>
      </w:pPr>
      <w:r w:rsidRPr="00C87368">
        <w:rPr>
          <w:rFonts w:ascii="Times New Roman" w:eastAsia="Times New Roman" w:hAnsi="Times New Roman" w:cs="Times New Roman"/>
          <w:color w:val="0E101A"/>
          <w:sz w:val="24"/>
          <w:szCs w:val="24"/>
        </w:rPr>
        <w:t>Financial reports: Provides information on billing, payments, and insurance claims.</w:t>
      </w:r>
    </w:p>
    <w:p w14:paraId="37A51981" w14:textId="77777777" w:rsidR="00C87368" w:rsidRPr="00C87368" w:rsidRDefault="00C87368" w:rsidP="00C87368">
      <w:pPr>
        <w:numPr>
          <w:ilvl w:val="0"/>
          <w:numId w:val="2"/>
        </w:numPr>
        <w:spacing w:after="0" w:line="240" w:lineRule="auto"/>
        <w:rPr>
          <w:rFonts w:ascii="Times New Roman" w:eastAsia="Times New Roman" w:hAnsi="Times New Roman" w:cs="Times New Roman"/>
          <w:color w:val="0E101A"/>
          <w:sz w:val="24"/>
          <w:szCs w:val="24"/>
        </w:rPr>
      </w:pPr>
      <w:r w:rsidRPr="00C87368">
        <w:rPr>
          <w:rFonts w:ascii="Times New Roman" w:eastAsia="Times New Roman" w:hAnsi="Times New Roman" w:cs="Times New Roman"/>
          <w:color w:val="0E101A"/>
          <w:sz w:val="24"/>
          <w:szCs w:val="24"/>
        </w:rPr>
        <w:t>Clinical reports: Summarizes patient data, such as diagnoses, medications, and test results.</w:t>
      </w:r>
    </w:p>
    <w:p w14:paraId="53D02D5F" w14:textId="77777777" w:rsidR="00C87368" w:rsidRPr="00C87368" w:rsidRDefault="00C87368" w:rsidP="00C87368">
      <w:pPr>
        <w:numPr>
          <w:ilvl w:val="0"/>
          <w:numId w:val="2"/>
        </w:numPr>
        <w:spacing w:after="0" w:line="240" w:lineRule="auto"/>
        <w:rPr>
          <w:rFonts w:ascii="Times New Roman" w:eastAsia="Times New Roman" w:hAnsi="Times New Roman" w:cs="Times New Roman"/>
          <w:color w:val="0E101A"/>
          <w:sz w:val="24"/>
          <w:szCs w:val="24"/>
        </w:rPr>
      </w:pPr>
      <w:r w:rsidRPr="00C87368">
        <w:rPr>
          <w:rFonts w:ascii="Times New Roman" w:eastAsia="Times New Roman" w:hAnsi="Times New Roman" w:cs="Times New Roman"/>
          <w:color w:val="0E101A"/>
          <w:sz w:val="24"/>
          <w:szCs w:val="24"/>
        </w:rPr>
        <w:t>Patient demographics: Provides information on patient populations, such as age, gender, and location.</w:t>
      </w:r>
    </w:p>
    <w:p w14:paraId="74698899" w14:textId="77777777" w:rsidR="00C87368" w:rsidRPr="00C87368" w:rsidRDefault="00C87368" w:rsidP="00C87368">
      <w:pPr>
        <w:numPr>
          <w:ilvl w:val="0"/>
          <w:numId w:val="2"/>
        </w:numPr>
        <w:spacing w:after="0" w:line="240" w:lineRule="auto"/>
        <w:rPr>
          <w:rFonts w:ascii="Times New Roman" w:eastAsia="Times New Roman" w:hAnsi="Times New Roman" w:cs="Times New Roman"/>
          <w:color w:val="0E101A"/>
          <w:sz w:val="24"/>
          <w:szCs w:val="24"/>
        </w:rPr>
      </w:pPr>
      <w:r w:rsidRPr="00C87368">
        <w:rPr>
          <w:rFonts w:ascii="Times New Roman" w:eastAsia="Times New Roman" w:hAnsi="Times New Roman" w:cs="Times New Roman"/>
          <w:color w:val="0E101A"/>
          <w:sz w:val="24"/>
          <w:szCs w:val="24"/>
        </w:rPr>
        <w:t>Practice management reports: Offers insights into practice operations, such as appointment scheduling and staff productivity.</w:t>
      </w:r>
    </w:p>
    <w:p w14:paraId="0FAA55CA" w14:textId="77777777" w:rsidR="00C87368" w:rsidRPr="00C87368" w:rsidRDefault="00C87368" w:rsidP="00C87368">
      <w:pPr>
        <w:spacing w:after="0" w:line="240" w:lineRule="auto"/>
        <w:rPr>
          <w:rFonts w:ascii="Times New Roman" w:eastAsia="Times New Roman" w:hAnsi="Times New Roman" w:cs="Times New Roman"/>
          <w:color w:val="0E101A"/>
          <w:sz w:val="24"/>
          <w:szCs w:val="24"/>
        </w:rPr>
      </w:pPr>
      <w:r w:rsidRPr="00C87368">
        <w:rPr>
          <w:rFonts w:ascii="Times New Roman" w:eastAsia="Times New Roman" w:hAnsi="Times New Roman" w:cs="Times New Roman"/>
          <w:color w:val="0E101A"/>
          <w:sz w:val="24"/>
          <w:szCs w:val="24"/>
        </w:rPr>
        <w:t>The reporting functionality in OpenEMR is designed to be user-friendly and can be run on-demand or on a schedule. For further analysis and sharing, reports can be exported in various formats, including PDF, CSV, and Excel. The reporting feature in OpenEMR can help healthcare providers make data-driven decisions and improve the quality of care they provide to their patients.</w:t>
      </w:r>
    </w:p>
    <w:p w14:paraId="62C67965" w14:textId="77777777" w:rsidR="00C87368" w:rsidRPr="00970F0C" w:rsidRDefault="00C87368" w:rsidP="00C87368">
      <w:pPr>
        <w:pStyle w:val="NoSpacing"/>
        <w:rPr>
          <w:rFonts w:ascii="Times New Roman" w:hAnsi="Times New Roman" w:cs="Times New Roman"/>
          <w:b/>
          <w:bCs/>
        </w:rPr>
      </w:pPr>
    </w:p>
    <w:p w14:paraId="758796B6" w14:textId="77777777" w:rsidR="006E4A17" w:rsidRPr="00970F0C" w:rsidRDefault="006E4A17">
      <w:pPr>
        <w:rPr>
          <w:rFonts w:ascii="Times New Roman" w:hAnsi="Times New Roman" w:cs="Times New Roman"/>
        </w:rPr>
      </w:pPr>
    </w:p>
    <w:sectPr w:rsidR="006E4A17" w:rsidRPr="00970F0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BAFB2" w14:textId="77777777" w:rsidR="00F27F5E" w:rsidRDefault="00F27F5E" w:rsidP="00304562">
      <w:pPr>
        <w:spacing w:after="0" w:line="240" w:lineRule="auto"/>
      </w:pPr>
      <w:r>
        <w:separator/>
      </w:r>
    </w:p>
  </w:endnote>
  <w:endnote w:type="continuationSeparator" w:id="0">
    <w:p w14:paraId="38C3D0DC" w14:textId="77777777" w:rsidR="00F27F5E" w:rsidRDefault="00F27F5E" w:rsidP="0030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C374" w14:textId="70675DB8" w:rsidR="00970F0C" w:rsidRDefault="00970F0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OpenEMR</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E9CBBD0" w14:textId="77777777" w:rsidR="00970F0C" w:rsidRDefault="00970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FB0E" w14:textId="77777777" w:rsidR="00F27F5E" w:rsidRDefault="00F27F5E" w:rsidP="00304562">
      <w:pPr>
        <w:spacing w:after="0" w:line="240" w:lineRule="auto"/>
      </w:pPr>
      <w:r>
        <w:separator/>
      </w:r>
    </w:p>
  </w:footnote>
  <w:footnote w:type="continuationSeparator" w:id="0">
    <w:p w14:paraId="07680E43" w14:textId="77777777" w:rsidR="00F27F5E" w:rsidRDefault="00F27F5E" w:rsidP="00304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6DFB" w14:textId="5ECD9F75" w:rsidR="00AD71E3" w:rsidRDefault="00AD71E3" w:rsidP="00AD71E3">
    <w:pPr>
      <w:pBdr>
        <w:left w:val="single" w:sz="12" w:space="11" w:color="4472C4" w:themeColor="accent1"/>
      </w:pBdr>
      <w:tabs>
        <w:tab w:val="left" w:pos="3620"/>
        <w:tab w:val="left" w:pos="3964"/>
      </w:tabs>
      <w:spacing w:after="0"/>
      <w:jc w:val="right"/>
      <w:rPr>
        <w:rFonts w:asciiTheme="majorHAnsi" w:eastAsiaTheme="majorEastAsia" w:hAnsiTheme="majorHAnsi" w:cstheme="majorBidi"/>
        <w:color w:val="2F5496" w:themeColor="accent1" w:themeShade="BF"/>
        <w:sz w:val="26"/>
        <w:szCs w:val="26"/>
      </w:rPr>
    </w:pPr>
    <w:r>
      <w:rPr>
        <w:noProof/>
      </w:rPr>
      <w:drawing>
        <wp:inline distT="0" distB="0" distL="0" distR="0" wp14:anchorId="1374A4C5" wp14:editId="12002AD5">
          <wp:extent cx="2295525" cy="5245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295525" cy="524510"/>
                  </a:xfrm>
                  <a:prstGeom prst="rect">
                    <a:avLst/>
                  </a:prstGeom>
                </pic:spPr>
              </pic:pic>
            </a:graphicData>
          </a:graphic>
        </wp:inline>
      </w:drawing>
    </w:r>
  </w:p>
  <w:p w14:paraId="4C9A442C" w14:textId="338C2A2F" w:rsidR="00304562" w:rsidRDefault="00AD71E3">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F699D"/>
    <w:multiLevelType w:val="multilevel"/>
    <w:tmpl w:val="04A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2445F"/>
    <w:multiLevelType w:val="hybridMultilevel"/>
    <w:tmpl w:val="65420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327062">
    <w:abstractNumId w:val="1"/>
  </w:num>
  <w:num w:numId="2" w16cid:durableId="151448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84"/>
    <w:rsid w:val="00165AD4"/>
    <w:rsid w:val="002B6A0D"/>
    <w:rsid w:val="00304562"/>
    <w:rsid w:val="003A1C5F"/>
    <w:rsid w:val="006D3D84"/>
    <w:rsid w:val="006E4A17"/>
    <w:rsid w:val="00920F8F"/>
    <w:rsid w:val="00970F0C"/>
    <w:rsid w:val="00AD71E3"/>
    <w:rsid w:val="00C8367C"/>
    <w:rsid w:val="00C87368"/>
    <w:rsid w:val="00F2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D9F7F"/>
  <w15:chartTrackingRefBased/>
  <w15:docId w15:val="{110867BC-4C4F-4F4C-AFA8-DB7F42DA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D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3D84"/>
    <w:rPr>
      <w:color w:val="0000FF"/>
      <w:u w:val="single"/>
    </w:rPr>
  </w:style>
  <w:style w:type="paragraph" w:styleId="NoSpacing">
    <w:name w:val="No Spacing"/>
    <w:uiPriority w:val="1"/>
    <w:qFormat/>
    <w:rsid w:val="006E4A17"/>
    <w:pPr>
      <w:spacing w:after="0" w:line="240" w:lineRule="auto"/>
    </w:pPr>
  </w:style>
  <w:style w:type="paragraph" w:styleId="Header">
    <w:name w:val="header"/>
    <w:basedOn w:val="Normal"/>
    <w:link w:val="HeaderChar"/>
    <w:unhideWhenUsed/>
    <w:rsid w:val="00304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62"/>
  </w:style>
  <w:style w:type="paragraph" w:styleId="Footer">
    <w:name w:val="footer"/>
    <w:basedOn w:val="Normal"/>
    <w:link w:val="FooterChar"/>
    <w:uiPriority w:val="99"/>
    <w:unhideWhenUsed/>
    <w:rsid w:val="00304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62"/>
  </w:style>
  <w:style w:type="table" w:styleId="TableGrid">
    <w:name w:val="Table Grid"/>
    <w:basedOn w:val="TableNormal"/>
    <w:uiPriority w:val="39"/>
    <w:rsid w:val="00304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F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F0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70F0C"/>
    <w:pPr>
      <w:outlineLvl w:val="9"/>
    </w:pPr>
  </w:style>
  <w:style w:type="paragraph" w:styleId="TOC1">
    <w:name w:val="toc 1"/>
    <w:basedOn w:val="Normal"/>
    <w:next w:val="Normal"/>
    <w:autoRedefine/>
    <w:uiPriority w:val="39"/>
    <w:unhideWhenUsed/>
    <w:rsid w:val="00970F0C"/>
    <w:pPr>
      <w:spacing w:after="100"/>
    </w:pPr>
  </w:style>
  <w:style w:type="paragraph" w:styleId="TOC2">
    <w:name w:val="toc 2"/>
    <w:basedOn w:val="Normal"/>
    <w:next w:val="Normal"/>
    <w:autoRedefine/>
    <w:uiPriority w:val="39"/>
    <w:unhideWhenUsed/>
    <w:rsid w:val="00970F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1377">
      <w:bodyDiv w:val="1"/>
      <w:marLeft w:val="0"/>
      <w:marRight w:val="0"/>
      <w:marTop w:val="0"/>
      <w:marBottom w:val="0"/>
      <w:divBdr>
        <w:top w:val="none" w:sz="0" w:space="0" w:color="auto"/>
        <w:left w:val="none" w:sz="0" w:space="0" w:color="auto"/>
        <w:bottom w:val="none" w:sz="0" w:space="0" w:color="auto"/>
        <w:right w:val="none" w:sz="0" w:space="0" w:color="auto"/>
      </w:divBdr>
    </w:div>
    <w:div w:id="551775126">
      <w:bodyDiv w:val="1"/>
      <w:marLeft w:val="0"/>
      <w:marRight w:val="0"/>
      <w:marTop w:val="0"/>
      <w:marBottom w:val="0"/>
      <w:divBdr>
        <w:top w:val="none" w:sz="0" w:space="0" w:color="auto"/>
        <w:left w:val="none" w:sz="0" w:space="0" w:color="auto"/>
        <w:bottom w:val="none" w:sz="0" w:space="0" w:color="auto"/>
        <w:right w:val="none" w:sz="0" w:space="0" w:color="auto"/>
      </w:divBdr>
    </w:div>
    <w:div w:id="17397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D2B72-13B9-4B83-961B-70CD56AE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dc:title>
  <dc:subject/>
  <dc:creator>shivaprasad sultan ravinder</dc:creator>
  <cp:keywords>Open EMR</cp:keywords>
  <dc:description/>
  <cp:lastModifiedBy>shivaprasad sultan ravinder</cp:lastModifiedBy>
  <cp:revision>2</cp:revision>
  <dcterms:created xsi:type="dcterms:W3CDTF">2023-02-01T09:49:00Z</dcterms:created>
  <dcterms:modified xsi:type="dcterms:W3CDTF">2023-02-13T10:58:00Z</dcterms:modified>
</cp:coreProperties>
</file>