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bookmarkStart w:id="33" w:name="X5c3cf2e5d89a4a963afe0c79d380260585d6ff9"/>
    <w:p>
      <w:pPr>
        <w:pStyle w:val="Heading1"/>
      </w:pPr>
      <w:r>
        <w:t xml:space="preserve">ДОГОВОР № [номер] на выполнение работ по циклёвке паркета</w:t>
      </w:r>
    </w:p>
    <w:p>
      <w:pPr>
        <w:pStyle w:val="FirstParagraph"/>
      </w:pPr>
      <w:r>
        <w:t xml:space="preserve">г. [город] «[дд]» [месяц] 20[гг] г.</w:t>
      </w:r>
    </w:p>
    <w:p>
      <w:pPr>
        <w:pStyle w:val="BodyText"/>
      </w:pPr>
      <w:r>
        <w:t xml:space="preserve">Индивидуальный предприниматель Тимшин Иван Николаевич (ИНН 433401898838, ОГРНИП 324430000009083), в лице представителя Тимшина Льва Николаевича, действующего на основании доверенности № [номер] от [дата], далее «Исполнитель», с одной стороны, и [ФИО], паспорт [серия, номер, кем и когда выдан], далее «Заказчик», с другой стороны, заключили настоящий договор (далее — Договор) о нижеследующем.</w:t>
      </w:r>
    </w:p>
    <w:bookmarkStart w:id="20" w:name="предмет-договора"/>
    <w:p>
      <w:pPr>
        <w:pStyle w:val="Heading2"/>
      </w:pPr>
      <w:r>
        <w:t xml:space="preserve">1. Предмет договора</w:t>
      </w:r>
    </w:p>
    <w:p>
      <w:pPr>
        <w:pStyle w:val="FirstParagraph"/>
      </w:pPr>
      <w:r>
        <w:t xml:space="preserve">1.1. Исполнитель обязуется выполнить работы по циклёвке (шлифовке) и нанесению защитного покрытия паркета по адресу: [адрес] (далее — Объект), а Заказчик обязуется принять и оплатить их результат.</w:t>
      </w:r>
    </w:p>
    <w:p>
      <w:pPr>
        <w:pStyle w:val="BodyText"/>
      </w:pPr>
      <w:r>
        <w:t xml:space="preserve">1.2. Состав работ, площадь, материалы и стоимость указаны в Смете (Приложение 1). Работы, не указанные в Смете, в предмет Договора не входят. Они выполняются только по письменному согласованию (в том числе в мессенджере по п. 8.5) и оплачиваются отдельно.</w:t>
      </w:r>
    </w:p>
    <w:p>
      <w:pPr>
        <w:pStyle w:val="BodyText"/>
      </w:pPr>
      <w:r>
        <w:t xml:space="preserve">1.3. Состояние паркета до начала работ фиксируется в Акте осмотра (Приложение 2) с фотографиями. Дефекты, отмеченные в Акте осмотра, не являются недостатками работ Исполнителя, если их устранение прямо не включено в Смету.</w:t>
      </w:r>
    </w:p>
    <w:p>
      <w:pPr>
        <w:pStyle w:val="BodyText"/>
      </w:pPr>
      <w:r>
        <w:t xml:space="preserve">1.4. Материалы (лак, масло, грунт, шпатлёвка) предоставляет [Исполнитель / Заказчик / Исполнитель и Заказчик согласно Смете]. В Смете по каждой позиции указывается марка материала и чей он. За качество своих материалов отвечает Исполнитель. За качество материалов Заказчика и их совместимость с другими материалами Исполнитель не отвечает, если их недостатки нельзя было обнаружить при обычном осмотре (ст. 713 ГК РФ). Недостающие материалы Заказчика сдвигают срок работ по п. 3.2.</w:t>
      </w:r>
    </w:p>
    <w:p>
      <w:pPr>
        <w:pStyle w:val="BodyText"/>
      </w:pPr>
      <w:r>
        <w:t xml:space="preserve">1.5. Результат работ — отшлифованная поверхность паркета с нанесённым покрытием, соответствующая критериям качества из раздела 6.</w:t>
      </w:r>
    </w:p>
    <w:bookmarkEnd w:id="20"/>
    <w:bookmarkStart w:id="21" w:name="цена-и-порядок-оплаты"/>
    <w:p>
      <w:pPr>
        <w:pStyle w:val="Heading2"/>
      </w:pPr>
      <w:r>
        <w:t xml:space="preserve">2. Цена и порядок оплаты</w:t>
      </w:r>
    </w:p>
    <w:p>
      <w:pPr>
        <w:pStyle w:val="FirstParagraph"/>
      </w:pPr>
      <w:r>
        <w:t xml:space="preserve">2.1. Стоимость работ составляет [сумма цифрами и прописью] рублей, НДС не облагается. Цена твёрдая (фиксированная) и включает все работы и материалы из Сметы.</w:t>
      </w:r>
    </w:p>
    <w:p>
      <w:pPr>
        <w:pStyle w:val="BodyText"/>
      </w:pPr>
      <w:r>
        <w:t xml:space="preserve">2.2. Цена меняется только по письменному соглашению сторон: при дополнительных работах по п. 1.2 и п. 2.5.</w:t>
      </w:r>
    </w:p>
    <w:p>
      <w:pPr>
        <w:pStyle w:val="BodyText"/>
      </w:pPr>
      <w:r>
        <w:t xml:space="preserve">2.3. Оплата вносится двумя частями:</w:t>
      </w:r>
    </w:p>
    <w:p>
      <w:pPr>
        <w:numPr>
          <w:ilvl w:val="0"/>
          <w:numId w:val="1001"/>
        </w:numPr>
        <w:pStyle w:val="Compact"/>
      </w:pPr>
      <w:r>
        <w:t xml:space="preserve">50% — [сумма] рублей — предоплата в день начала работ, до их начала;</w:t>
      </w:r>
    </w:p>
    <w:p>
      <w:pPr>
        <w:numPr>
          <w:ilvl w:val="0"/>
          <w:numId w:val="1001"/>
        </w:numPr>
        <w:pStyle w:val="Compact"/>
      </w:pPr>
      <w:r>
        <w:t xml:space="preserve">50% — [сумма] рублей — в день завершения работ при подписании Акта приёмки (Приложение 3) либо в день, когда работы считаются принятыми по п. 4.3.</w:t>
      </w:r>
    </w:p>
    <w:p>
      <w:pPr>
        <w:pStyle w:val="FirstParagraph"/>
      </w:pPr>
      <w:r>
        <w:t xml:space="preserve">До получения предоплаты Исполнитель вправе не приступать к работам, срок сдвигается на время задержки (ст. 328 ГК РФ).</w:t>
      </w:r>
    </w:p>
    <w:p>
      <w:pPr>
        <w:pStyle w:val="BodyText"/>
      </w:pPr>
      <w:r>
        <w:t xml:space="preserve">2.4. Оплата — наличными представителю Исполнителя или переводом на счёт ИП Тимшина И.Н. по реквизитам из раздела 9. На каждую внесённую сумму Исполнитель выдаёт Заказчику товарный чек. Товарный чек подтверждает оплату Исполнителю.</w:t>
      </w:r>
    </w:p>
    <w:p>
      <w:pPr>
        <w:pStyle w:val="BodyText"/>
      </w:pPr>
      <w:r>
        <w:t xml:space="preserve">2.5. Если при работах выявлены скрытые обстоятельства (гниль, плесень, жучок, незакреплённые планки, пустоты и дефекты основания, гвозди и скобы, недостаточная толщина износного слоя, старые воски, масла, силикон), Исполнитель приостанавливает работы и сообщает Заказчику (ст. 716 ГК РФ). Работы продолжаются после согласования дополнительных работ и их стоимости. Срок сдвигается на время приостановки.</w:t>
      </w:r>
    </w:p>
    <w:bookmarkEnd w:id="21"/>
    <w:bookmarkStart w:id="22" w:name="сроки-и-обязанности-сторон"/>
    <w:p>
      <w:pPr>
        <w:pStyle w:val="Heading2"/>
      </w:pPr>
      <w:r>
        <w:t xml:space="preserve">3. Сроки и обязанности сторон</w:t>
      </w:r>
    </w:p>
    <w:p>
      <w:pPr>
        <w:pStyle w:val="FirstParagraph"/>
      </w:pPr>
      <w:r>
        <w:t xml:space="preserve">3.1. Начало работ — [дата]. Срок выполнения — [число] рабочих дней, включая время высыхания слоёв покрытия по технологии производителя.</w:t>
      </w:r>
    </w:p>
    <w:p>
      <w:pPr>
        <w:pStyle w:val="BodyText"/>
      </w:pPr>
      <w:r>
        <w:t xml:space="preserve">3.2. Срок сдвигается на период задержки предоплаты, неготовности Объекта или материалов Заказчика, приостановки по п. 2.5 и 6.3, нарушения Заказчиком п. 3.4, а также на время дополнительных работ (ст. 719 ГК РФ).</w:t>
      </w:r>
    </w:p>
    <w:p>
      <w:pPr>
        <w:pStyle w:val="BodyText"/>
      </w:pPr>
      <w:r>
        <w:t xml:space="preserve">3.3. Исполнитель обязан:</w:t>
      </w:r>
    </w:p>
    <w:p>
      <w:pPr>
        <w:numPr>
          <w:ilvl w:val="0"/>
          <w:numId w:val="1002"/>
        </w:numPr>
        <w:pStyle w:val="Compact"/>
      </w:pPr>
      <w:r>
        <w:t xml:space="preserve">выполнить работы своим инструментом и по технологии производителя материалов;</w:t>
      </w:r>
    </w:p>
    <w:p>
      <w:pPr>
        <w:numPr>
          <w:ilvl w:val="0"/>
          <w:numId w:val="1002"/>
        </w:numPr>
        <w:pStyle w:val="Compact"/>
      </w:pPr>
      <w:r>
        <w:t xml:space="preserve">письменно предупредить Заказчика об обстоятельствах, которые влияют на результат (раздел 6);</w:t>
      </w:r>
    </w:p>
    <w:p>
      <w:pPr>
        <w:numPr>
          <w:ilvl w:val="0"/>
          <w:numId w:val="1002"/>
        </w:numPr>
        <w:pStyle w:val="Compact"/>
      </w:pPr>
      <w:r>
        <w:t xml:space="preserve">после работ убрать строительный мусор (без финишной клининговой уборки);</w:t>
      </w:r>
    </w:p>
    <w:p>
      <w:pPr>
        <w:numPr>
          <w:ilvl w:val="0"/>
          <w:numId w:val="1002"/>
        </w:numPr>
        <w:pStyle w:val="Compact"/>
      </w:pPr>
      <w:r>
        <w:t xml:space="preserve">передать Заказчику Памятку по уходу (Приложение 4).</w:t>
      </w:r>
    </w:p>
    <w:p>
      <w:pPr>
        <w:pStyle w:val="FirstParagraph"/>
      </w:pPr>
      <w:r>
        <w:t xml:space="preserve">3.4. Заказчик обязан:</w:t>
      </w:r>
    </w:p>
    <w:p>
      <w:pPr>
        <w:numPr>
          <w:ilvl w:val="0"/>
          <w:numId w:val="1003"/>
        </w:numPr>
        <w:pStyle w:val="Compact"/>
      </w:pPr>
      <w:r>
        <w:t xml:space="preserve">к началу работ освободить помещения от мебели и вещей либо заказать вынос по Смете;</w:t>
      </w:r>
    </w:p>
    <w:p>
      <w:pPr>
        <w:numPr>
          <w:ilvl w:val="0"/>
          <w:numId w:val="1003"/>
        </w:numPr>
        <w:pStyle w:val="Compact"/>
      </w:pPr>
      <w:r>
        <w:t xml:space="preserve">убрать или укрыть технику и вещи в смежных помещениях: мелкая древесная пыль и запах лака неизбежны даже при работе с пылесосом;</w:t>
      </w:r>
    </w:p>
    <w:p>
      <w:pPr>
        <w:numPr>
          <w:ilvl w:val="0"/>
          <w:numId w:val="1003"/>
        </w:numPr>
        <w:pStyle w:val="Compact"/>
      </w:pPr>
      <w:r>
        <w:t xml:space="preserve">обеспечить доступ на Объект, электросеть 220 В не менее [число] кВт, воду и санузел;</w:t>
      </w:r>
    </w:p>
    <w:p>
      <w:pPr>
        <w:numPr>
          <w:ilvl w:val="0"/>
          <w:numId w:val="1003"/>
        </w:numPr>
        <w:pStyle w:val="Compact"/>
      </w:pPr>
      <w:r>
        <w:t xml:space="preserve">поддерживать в помещениях +18…+25 °C и влажность 40–60% во время работ и 14 дней после них, не допускать сквозняков и прямого солнца на свежее покрытие;</w:t>
      </w:r>
    </w:p>
    <w:p>
      <w:pPr>
        <w:numPr>
          <w:ilvl w:val="0"/>
          <w:numId w:val="1003"/>
        </w:numPr>
        <w:pStyle w:val="Compact"/>
      </w:pPr>
      <w:r>
        <w:t xml:space="preserve">не допускать в рабочую зону посторонних и животных, не ходить по покрытию до срока, названного Исполнителем;</w:t>
      </w:r>
    </w:p>
    <w:p>
      <w:pPr>
        <w:numPr>
          <w:ilvl w:val="0"/>
          <w:numId w:val="1003"/>
        </w:numPr>
        <w:pStyle w:val="Compact"/>
      </w:pPr>
      <w:r>
        <w:t xml:space="preserve">до начала работ сообщить о тёплом поле, коммуникациях в полу и ранее применённых составах (воск, масло, полироль, силикон);</w:t>
      </w:r>
    </w:p>
    <w:p>
      <w:pPr>
        <w:numPr>
          <w:ilvl w:val="0"/>
          <w:numId w:val="1003"/>
        </w:numPr>
        <w:pStyle w:val="Compact"/>
      </w:pPr>
      <w:r>
        <w:t xml:space="preserve">принять и оплатить работы в сроки Договора.</w:t>
      </w:r>
    </w:p>
    <w:bookmarkEnd w:id="22"/>
    <w:bookmarkStart w:id="23" w:name="приёмка-работ"/>
    <w:p>
      <w:pPr>
        <w:pStyle w:val="Heading2"/>
      </w:pPr>
      <w:r>
        <w:t xml:space="preserve">4. Приёмка работ</w:t>
      </w:r>
    </w:p>
    <w:p>
      <w:pPr>
        <w:pStyle w:val="FirstParagraph"/>
      </w:pPr>
      <w:r>
        <w:t xml:space="preserve">4.1. По окончании работ Исполнитель уведомляет Заказчика (в том числе в мессенджере) и передаёт Акт приёмки.</w:t>
      </w:r>
    </w:p>
    <w:p>
      <w:pPr>
        <w:pStyle w:val="BodyText"/>
      </w:pPr>
      <w:r>
        <w:t xml:space="preserve">4.2. Заказчик в течение 2 календарных дней после уведомления осматривает результат и подписывает Акт либо передаёт письменный мотивированный отказ с перечнем конкретных недостатков и фотографиями. Недостатки оцениваются по критериям п. 6.2.</w:t>
      </w:r>
    </w:p>
    <w:p>
      <w:pPr>
        <w:pStyle w:val="BodyText"/>
      </w:pPr>
      <w:r>
        <w:t xml:space="preserve">4.3. Если в этот срок Акт не подписан и мотивированный отказ не получен, работы считаются принятыми без замечаний, а Исполнитель вправе оформить Акт в одностороннем порядке. Расстановка мебели и обычное пользование помещением без мотивированного отказа также означают приёмку.</w:t>
      </w:r>
    </w:p>
    <w:p>
      <w:pPr>
        <w:pStyle w:val="BodyText"/>
      </w:pPr>
      <w:r>
        <w:t xml:space="preserve">4.4. Заказчик, принявший работы без проверки, не вправе ссылаться на явные недостатки, которые могли быть установлены при обычной приёмке (п. 3 ст. 720 ГК РФ).</w:t>
      </w:r>
    </w:p>
    <w:p>
      <w:pPr>
        <w:pStyle w:val="BodyText"/>
      </w:pPr>
      <w:r>
        <w:t xml:space="preserve">4.5. Стороны фотографируют результат в день приёмки. Фото используются как доказательство состояния покрытия на дату приёмки.</w:t>
      </w:r>
    </w:p>
    <w:bookmarkEnd w:id="23"/>
    <w:bookmarkStart w:id="24" w:name="гарантия"/>
    <w:p>
      <w:pPr>
        <w:pStyle w:val="Heading2"/>
      </w:pPr>
      <w:r>
        <w:t xml:space="preserve">5. Гарантия</w:t>
      </w:r>
    </w:p>
    <w:p>
      <w:pPr>
        <w:pStyle w:val="FirstParagraph"/>
      </w:pPr>
      <w:r>
        <w:t xml:space="preserve">5.1. Гарантийный срок — 12 (двенадцать) месяцев с даты приёмки работ (Акт или п. 4.3).</w:t>
      </w:r>
    </w:p>
    <w:p>
      <w:pPr>
        <w:pStyle w:val="BodyText"/>
      </w:pPr>
      <w:r>
        <w:t xml:space="preserve">5.2. Гарантия распространяется только на дефекты, возникшие по вине Исполнителя: отслоение и шелушение покрытия без внешнего воздействия, нарушение технологии нанесения и дефекты шлифовки, видимые по критериям п. 6.2.</w:t>
      </w:r>
    </w:p>
    <w:p>
      <w:pPr>
        <w:pStyle w:val="BodyText"/>
      </w:pPr>
      <w:r>
        <w:t xml:space="preserve">5.3. Гарантия не распространяется на недостатки, возникшие после приёмки вследствие (п. 6 ст. 29 Закона «О защите прав потребителей»):</w:t>
      </w:r>
    </w:p>
    <w:p>
      <w:pPr>
        <w:numPr>
          <w:ilvl w:val="0"/>
          <w:numId w:val="1004"/>
        </w:numPr>
        <w:pStyle w:val="Compact"/>
      </w:pPr>
      <w:r>
        <w:t xml:space="preserve">механических повреждений: царапины и вмятины от мебели, каблуков, колёсиков, когтей животных, песка, падения предметов;</w:t>
      </w:r>
    </w:p>
    <w:p>
      <w:pPr>
        <w:numPr>
          <w:ilvl w:val="0"/>
          <w:numId w:val="1004"/>
        </w:numPr>
        <w:pStyle w:val="Compact"/>
      </w:pPr>
      <w:r>
        <w:t xml:space="preserve">естественного износа покрытия, в том числе в местах активной ходьбы;</w:t>
      </w:r>
    </w:p>
    <w:p>
      <w:pPr>
        <w:numPr>
          <w:ilvl w:val="0"/>
          <w:numId w:val="1004"/>
        </w:numPr>
        <w:pStyle w:val="Compact"/>
      </w:pPr>
      <w:r>
        <w:t xml:space="preserve">воздействия воды (протечки, разлитая жидкость, мокрая уборка, конденсат цветочных горшков);</w:t>
      </w:r>
    </w:p>
    <w:p>
      <w:pPr>
        <w:numPr>
          <w:ilvl w:val="0"/>
          <w:numId w:val="1004"/>
        </w:numPr>
        <w:pStyle w:val="Compact"/>
      </w:pPr>
      <w:r>
        <w:t xml:space="preserve">нарушения температурно-влажностного режима (+18…+25 °C, 40–60%): щели, коробление, трещины древесины и покрытия;</w:t>
      </w:r>
    </w:p>
    <w:p>
      <w:pPr>
        <w:numPr>
          <w:ilvl w:val="0"/>
          <w:numId w:val="1004"/>
        </w:numPr>
        <w:pStyle w:val="Compact"/>
      </w:pPr>
      <w:r>
        <w:t xml:space="preserve">нарушения Памятки по уходу (Приложение 4), применения абразивных, агрессивных и неподходящих средств;</w:t>
      </w:r>
    </w:p>
    <w:p>
      <w:pPr>
        <w:numPr>
          <w:ilvl w:val="0"/>
          <w:numId w:val="1004"/>
        </w:numPr>
        <w:pStyle w:val="Compact"/>
      </w:pPr>
      <w:r>
        <w:t xml:space="preserve">влияния солнечного света и времени (потемнение, пожелтение, выгорание), работы тёплого пола и радиаторов;</w:t>
      </w:r>
    </w:p>
    <w:p>
      <w:pPr>
        <w:numPr>
          <w:ilvl w:val="0"/>
          <w:numId w:val="1004"/>
        </w:numPr>
        <w:pStyle w:val="Compact"/>
      </w:pPr>
      <w:r>
        <w:t xml:space="preserve">дефектов самого паркета, клея, лаг, стяжки и основания (скрип, отслоение планок, просадка, гниль, жучок);</w:t>
      </w:r>
    </w:p>
    <w:p>
      <w:pPr>
        <w:numPr>
          <w:ilvl w:val="0"/>
          <w:numId w:val="1004"/>
        </w:numPr>
        <w:pStyle w:val="Compact"/>
      </w:pPr>
      <w:r>
        <w:t xml:space="preserve">дефектов, указанных в Акте осмотра, и обстоятельств из раздела 6, о которых Заказчик предупреждён;</w:t>
      </w:r>
    </w:p>
    <w:p>
      <w:pPr>
        <w:numPr>
          <w:ilvl w:val="0"/>
          <w:numId w:val="1004"/>
        </w:numPr>
        <w:pStyle w:val="Compact"/>
      </w:pPr>
      <w:r>
        <w:t xml:space="preserve">работ по указанию или из материалов Заказчика вопреки письменному предупреждению Исполнителя;</w:t>
      </w:r>
    </w:p>
    <w:p>
      <w:pPr>
        <w:numPr>
          <w:ilvl w:val="0"/>
          <w:numId w:val="1004"/>
        </w:numPr>
        <w:pStyle w:val="Compact"/>
      </w:pPr>
      <w:r>
        <w:t xml:space="preserve">ремонта, шлифовки, перекраски или другого вмешательства третьих лиц;</w:t>
      </w:r>
    </w:p>
    <w:p>
      <w:pPr>
        <w:numPr>
          <w:ilvl w:val="0"/>
          <w:numId w:val="1004"/>
        </w:numPr>
        <w:pStyle w:val="Compact"/>
      </w:pPr>
      <w:r>
        <w:t xml:space="preserve">обстоятельств непреодолимой силы.</w:t>
      </w:r>
    </w:p>
    <w:p>
      <w:pPr>
        <w:pStyle w:val="FirstParagraph"/>
      </w:pPr>
      <w:r>
        <w:t xml:space="preserve">5.4. Порядок обращения: Заказчик направляет письменную претензию с описанием и фото недостатка в разумный срок после его обнаружения и не допускает дальнейшего ухудшения. Исполнитель в течение 7 дней осматривает покрытие, Заказчик обеспечивает доступ. По итогам осмотра составляется акт с фото.</w:t>
      </w:r>
    </w:p>
    <w:p>
      <w:pPr>
        <w:pStyle w:val="BodyText"/>
      </w:pPr>
      <w:r>
        <w:t xml:space="preserve">5.5. При споре о причинах недостатка проводится экспертиза. Если она установит, что недостаток возник по причинам из п. 5.3, Заказчик возмещает Исполнителю расходы на экспертизу и выезд.</w:t>
      </w:r>
    </w:p>
    <w:p>
      <w:pPr>
        <w:pStyle w:val="BodyText"/>
      </w:pPr>
      <w:r>
        <w:t xml:space="preserve">5.6. Гарантийный ремонт выполняется локально, в границах дефектной зоны, в срок, согласованный сторонами. Заказчик уведомлён, что отремонтированный участок может незначительно отличаться по тону и блеску, и это не является недостатком.</w:t>
      </w:r>
    </w:p>
    <w:bookmarkEnd w:id="24"/>
    <w:bookmarkStart w:id="25" w:name="Xc9debdf2ddb5878375f939734e007a67ae7a716"/>
    <w:p>
      <w:pPr>
        <w:pStyle w:val="Heading2"/>
      </w:pPr>
      <w:r>
        <w:t xml:space="preserve">6. Особенности материала и критерии качества</w:t>
      </w:r>
    </w:p>
    <w:p>
      <w:pPr>
        <w:pStyle w:val="FirstParagraph"/>
      </w:pPr>
      <w:r>
        <w:t xml:space="preserve">6.1. Заказчик предупреждён и согласен, что следующее не является недостатком работ:</w:t>
      </w:r>
    </w:p>
    <w:p>
      <w:pPr>
        <w:numPr>
          <w:ilvl w:val="0"/>
          <w:numId w:val="1005"/>
        </w:numPr>
        <w:pStyle w:val="Compact"/>
      </w:pPr>
      <w:r>
        <w:t xml:space="preserve">естественные свойства древесины: разнотон, сучки, рисунок, разница цвета между планками и с образцами и каталогами;</w:t>
      </w:r>
    </w:p>
    <w:p>
      <w:pPr>
        <w:numPr>
          <w:ilvl w:val="0"/>
          <w:numId w:val="1005"/>
        </w:numPr>
        <w:pStyle w:val="Compact"/>
      </w:pPr>
      <w:r>
        <w:t xml:space="preserve">проявившиеся после снятия старого слоя скрытые дефекты: глубокие пятна, потемнения, следы клея, жучка и воды, трещины, которые нельзя удалить шлифовкой;</w:t>
      </w:r>
    </w:p>
    <w:p>
      <w:pPr>
        <w:numPr>
          <w:ilvl w:val="0"/>
          <w:numId w:val="1005"/>
        </w:numPr>
        <w:pStyle w:val="Compact"/>
      </w:pPr>
      <w:r>
        <w:t xml:space="preserve">вскрытие шипов, гвоздей и пазов при малой толщине износного слоя, зафиксированной в Акте осмотра;</w:t>
      </w:r>
    </w:p>
    <w:p>
      <w:pPr>
        <w:numPr>
          <w:ilvl w:val="0"/>
          <w:numId w:val="1005"/>
        </w:numPr>
        <w:pStyle w:val="Compact"/>
      </w:pPr>
      <w:r>
        <w:t xml:space="preserve">сезонное появление щелей и выкрашивание шпатлёвки из них при движении древесины;</w:t>
      </w:r>
    </w:p>
    <w:p>
      <w:pPr>
        <w:numPr>
          <w:ilvl w:val="0"/>
          <w:numId w:val="1005"/>
        </w:numPr>
        <w:pStyle w:val="Compact"/>
      </w:pPr>
      <w:r>
        <w:t xml:space="preserve">разница в обработке у стен, в углах, под радиаторами и в труднодоступных местах, где работа идёт ручным инструментом;</w:t>
      </w:r>
    </w:p>
    <w:p>
      <w:pPr>
        <w:numPr>
          <w:ilvl w:val="0"/>
          <w:numId w:val="1005"/>
        </w:numPr>
        <w:pStyle w:val="Compact"/>
      </w:pPr>
      <w:r>
        <w:t xml:space="preserve">единичные включения пыли и ворса в покрытии — не более [3] на 1 м²;</w:t>
      </w:r>
    </w:p>
    <w:p>
      <w:pPr>
        <w:numPr>
          <w:ilvl w:val="0"/>
          <w:numId w:val="1005"/>
        </w:numPr>
        <w:pStyle w:val="Compact"/>
      </w:pPr>
      <w:r>
        <w:t xml:space="preserve">полная прочность покрытия наступает через [7–14] дней; повреждения в этот период при нарушении Памятки — не гарантийный случай.</w:t>
      </w:r>
    </w:p>
    <w:p>
      <w:pPr>
        <w:pStyle w:val="FirstParagraph"/>
      </w:pPr>
      <w:r>
        <w:t xml:space="preserve">6.2. Качество покрытия оценивается при осмотре стоя, с высоты роста, при обычном рассеянном освещении помещения. Дефекты, видимые только при боковой подсветке фонарём, с колен или вплотную, недостатками не считаются.</w:t>
      </w:r>
    </w:p>
    <w:p>
      <w:pPr>
        <w:pStyle w:val="BodyText"/>
      </w:pPr>
      <w:r>
        <w:t xml:space="preserve">6.3. Если Исполнитель письменно предупредил Заказчика о непригодности паркета, основания, материалов или условий или о риске для результата, а Заказчик настоял на продолжении работ, Исполнитель не отвечает за последствия (п. 3 ст. 716 ГК РФ). Предупреждение и ответ Заказчика фиксируются в Акте осмотра или в переписке по п. 8.5.</w:t>
      </w:r>
    </w:p>
    <w:bookmarkEnd w:id="25"/>
    <w:bookmarkStart w:id="26" w:name="ответственность-сторон"/>
    <w:p>
      <w:pPr>
        <w:pStyle w:val="Heading2"/>
      </w:pPr>
      <w:r>
        <w:t xml:space="preserve">7. Ответственность сторон</w:t>
      </w:r>
    </w:p>
    <w:p>
      <w:pPr>
        <w:pStyle w:val="FirstParagraph"/>
      </w:pPr>
      <w:r>
        <w:t xml:space="preserve">7.1. Стороны отвечают за нарушение Договора по законодательству РФ с учётом условий Договора.</w:t>
      </w:r>
    </w:p>
    <w:p>
      <w:pPr>
        <w:pStyle w:val="BodyText"/>
      </w:pPr>
      <w:r>
        <w:t xml:space="preserve">7.2. Исполнитель не отвечает за загрязнение и повреждение имущества, оставленного Заказчиком в рабочей зоне или неукрытым вопреки п. 3.4, а также за повреждение коммуникаций в полу и тёплого пола, о которых Заказчик не сообщил.</w:t>
      </w:r>
    </w:p>
    <w:p>
      <w:pPr>
        <w:pStyle w:val="BodyText"/>
      </w:pPr>
      <w:r>
        <w:t xml:space="preserve">7.3. За просрочку оплаты Заказчик платит неустойку 0,5% от неоплаченной суммы за каждый день просрочки.</w:t>
      </w:r>
    </w:p>
    <w:p>
      <w:pPr>
        <w:pStyle w:val="BodyText"/>
      </w:pPr>
      <w:r>
        <w:t xml:space="preserve">7.4. Если Исполнитель приехал в согласованное время, а работы невозможны по причинам, зависящим от Заказчика (нет доступа, электричества, не вынесена мебель), Заказчик оплачивает выезд в размере [сумма] рублей за каждый такой случай.</w:t>
      </w:r>
    </w:p>
    <w:p>
      <w:pPr>
        <w:pStyle w:val="BodyText"/>
      </w:pPr>
      <w:r>
        <w:t xml:space="preserve">7.5. Стороны освобождаются от ответственности за нарушение, вызванное непреодолимой силой (аварии сетей дома, отключение электроэнергии, стихийные бедствия, решения органов власти). Сроки сдвигаются на время действия этих обстоятельств.</w:t>
      </w:r>
    </w:p>
    <w:bookmarkEnd w:id="26"/>
    <w:bookmarkStart w:id="27" w:name="расторжение-споры-и-прочие-условия"/>
    <w:p>
      <w:pPr>
        <w:pStyle w:val="Heading2"/>
      </w:pPr>
      <w:r>
        <w:t xml:space="preserve">8. Расторжение, споры и прочие условия</w:t>
      </w:r>
    </w:p>
    <w:p>
      <w:pPr>
        <w:pStyle w:val="FirstParagraph"/>
      </w:pPr>
      <w:r>
        <w:t xml:space="preserve">8.1. Заказчик вправе отказаться от Договора в любое время, оплатив фактически выполненные работы и расходы Исполнителя, в том числе на закупленные материалы (ст. 717 ГК РФ, ст. 32 Закона «О защите прав потребителей»). Эти суммы удерживаются из предоплаты.</w:t>
      </w:r>
    </w:p>
    <w:p>
      <w:pPr>
        <w:pStyle w:val="BodyText"/>
      </w:pPr>
      <w:r>
        <w:t xml:space="preserve">8.2. Исполнитель вправе отказаться от Договора, если Заказчик более 3 дней не вносит предоплату, не обеспечивает доступ или условия п. 3.4, либо настаивает на работах вопреки предупреждению по п. 6.3 (п. 3 ст. 716, ст. 719 ГК РФ). В этом случае Заказчик оплачивает выполненное и расходы.</w:t>
      </w:r>
    </w:p>
    <w:p>
      <w:pPr>
        <w:pStyle w:val="BodyText"/>
      </w:pPr>
      <w:r>
        <w:t xml:space="preserve">8.3. Споры стороны сначала решают переговорами и письменной претензией (срок ответа — 10 дней), затем — в суде в порядке, установленном законом.</w:t>
      </w:r>
    </w:p>
    <w:p>
      <w:pPr>
        <w:pStyle w:val="BodyText"/>
      </w:pPr>
      <w:r>
        <w:t xml:space="preserve">8.4. Договор вступает в силу с момента подписания и действует до исполнения обязательств, включая гарантийные.</w:t>
      </w:r>
    </w:p>
    <w:p>
      <w:pPr>
        <w:pStyle w:val="BodyText"/>
      </w:pPr>
      <w:r>
        <w:t xml:space="preserve">8.5. Сообщения в мессенджерах [WhatsApp / Telegram / MAX] и по электронной почте с номеров и адресов из реквизитов являются письменными и юридически значимыми (ст. 165.1, п. 2 ст. 434 ГК РФ). Сообщение считается полученным в день отправки.</w:t>
      </w:r>
    </w:p>
    <w:p>
      <w:pPr>
        <w:pStyle w:val="BodyText"/>
      </w:pPr>
      <w:r>
        <w:t xml:space="preserve">8.6. Заказчик согласен на фото- и видеофиксацию пола до, во время и после работ для целей Договора и на обработку своих персональных данных для исполнения Договора.</w:t>
      </w:r>
    </w:p>
    <w:p>
      <w:pPr>
        <w:pStyle w:val="BodyText"/>
      </w:pPr>
      <w:r>
        <w:t xml:space="preserve">8.7. Договор, акты и товарные чеки подписывает от имени Исполнителя его представитель Тимшин Лев Николаевич по доверенности, указанной в преамбуле. Представитель также вправе принимать оплату, предупреждения и претензии. Все права и обязанности по Договору, включая гарантийные, возникают непосредственно у ИП Тимшина И.Н. (п. 1 ст. 182 ГК РФ). Копия доверенности передаётся Заказчику при подписании Договора.</w:t>
      </w:r>
    </w:p>
    <w:p>
      <w:pPr>
        <w:pStyle w:val="BodyText"/>
      </w:pPr>
      <w:r>
        <w:t xml:space="preserve">8.8. Договор составлен в двух экземплярах, по одному для каждой стороны. Приложения 1–4 — его неотъемлемая часть.</w:t>
      </w:r>
    </w:p>
    <w:bookmarkEnd w:id="27"/>
    <w:bookmarkStart w:id="28" w:name="реквизиты-и-подписи-сторон"/>
    <w:p>
      <w:pPr>
        <w:pStyle w:val="Heading2"/>
      </w:pPr>
      <w:r>
        <w:t xml:space="preserve">9. Реквизиты и подписи сторон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12"/>
        <w:gridCol w:w="2904"/>
        <w:gridCol w:w="290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Заказчик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Наименование / ФИО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ИП Тимшин Иван Николаевич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[ФИО]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ИНН / ОГРНИП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433401898838 / 324430000009083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[серия, номер]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[адрес ИП], д. Теребиловка, Уржумский р-н, Кировская обл.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[адрес регистрации]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Представитель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Тимшин Лев Николаевич, доверенность № [номер] от [дата]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Телефон (мессенджер)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[номер]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[номер]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[адрес]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[адрес]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Банковские реквизиты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р/с 40802810820000238508, ООО «Банк Точка», БИК 044525104, к/с 30101810745374525104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 / Тимшин Л.Н., по доверенности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 / [Фамилия И.О.]</w:t>
            </w:r>
          </w:p>
        </w:tc>
      </w:tr>
    </w:tbl>
    <w:bookmarkEnd w:id="28"/>
    <w:bookmarkStart w:id="29" w:name="приложение-1.-смета"/>
    <w:p>
      <w:pPr>
        <w:pStyle w:val="Heading2"/>
      </w:pPr>
      <w:r>
        <w:t xml:space="preserve">Приложение 1. Смета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4"/>
        <w:gridCol w:w="4132"/>
        <w:gridCol w:w="860"/>
        <w:gridCol w:w="860"/>
        <w:gridCol w:w="860"/>
        <w:gridCol w:w="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/ материал (чей: И / 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Цена, руб.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Сумма, руб.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Циклёвка (шлифовка), [число] прохода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Шлифовка углов и пристенной зоны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пог. 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Шпатлёвка щелей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Грунтование [марка]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Лак / масло [марка, степень блеска], [число] слоя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Демонтаж и монтаж плинтуса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пог. 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Вынос и расстановка мебели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Общая площадь по замеру: [число] м². Помещения: [список].</w:t>
      </w:r>
    </w:p>
    <w:p>
      <w:pPr>
        <w:pStyle w:val="BodyText"/>
      </w:pPr>
      <w:r>
        <w:t xml:space="preserve">Исполнитель ……………… / Тимшин Л.Н., по доверенности Заказчик ……………… / [ФИО]</w:t>
      </w:r>
    </w:p>
    <w:bookmarkEnd w:id="29"/>
    <w:bookmarkStart w:id="30" w:name="Xf6645eb97dcef39ed7837bbe6052c9da2638e01"/>
    <w:p>
      <w:pPr>
        <w:pStyle w:val="Heading2"/>
      </w:pPr>
      <w:r>
        <w:t xml:space="preserve">Приложение 2. Акт осмотра паркета до начала работ</w:t>
      </w:r>
    </w:p>
    <w:p>
      <w:pPr>
        <w:pStyle w:val="FirstParagraph"/>
      </w:pPr>
      <w:r>
        <w:t xml:space="preserve">Дата осмотра: [дата]. Фото № [с … по …] переданы Заказчику в мессенджере.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Порода и тип паркета (штучный, массив, инженерная доска)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Толщина износного слоя (примерно), мм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Старое покрытие (лак, масло, воск, неизвестно)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Щели, мм, и места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Сколы, трещины, вмятины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Пятна, потемнения, следы воды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Следы жучка или гнили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Скрип, отслоение планок, перепады высот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Тёплый пол, коммуникации в полу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Температура и влажность в помещении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Предупреждения Исполнителя (п. 6.3): [текст или «нет»].</w:t>
      </w:r>
    </w:p>
    <w:p>
      <w:pPr>
        <w:pStyle w:val="BodyText"/>
      </w:pPr>
      <w:r>
        <w:t xml:space="preserve">Решение Заказчика: [продолжить работы на свой риск / изменить смету / отказаться].</w:t>
      </w:r>
    </w:p>
    <w:p>
      <w:pPr>
        <w:pStyle w:val="BodyText"/>
      </w:pPr>
      <w:r>
        <w:t xml:space="preserve">Исполнитель ……………… / Тимшин Л.Н., по доверенности Заказчик ……………… / [ФИО]</w:t>
      </w:r>
    </w:p>
    <w:bookmarkEnd w:id="30"/>
    <w:bookmarkStart w:id="31" w:name="X3b9b8a46d1b508e38e0634a8eea2aa8724a514c"/>
    <w:p>
      <w:pPr>
        <w:pStyle w:val="Heading2"/>
      </w:pPr>
      <w:r>
        <w:t xml:space="preserve">Приложение 3. Акт приёмки выполненных работ</w:t>
      </w:r>
    </w:p>
    <w:p>
      <w:pPr>
        <w:pStyle w:val="FirstParagraph"/>
      </w:pPr>
      <w:r>
        <w:t xml:space="preserve">г. [город], [дата]</w:t>
      </w:r>
    </w:p>
    <w:p>
      <w:pPr>
        <w:pStyle w:val="BodyText"/>
      </w:pPr>
      <w:r>
        <w:t xml:space="preserve">Исполнитель сдал, а Заказчик принял работы по Договору № [номер] от [дата] в объёме [число] м² на сумму [сумма] рублей. Работы выполнены в срок и в полном объёме. Заказчик осмотрел покрытие по критериям п. 6.2, претензий к качеству, объёму и срокам не имеет. Памятку по уходу получил. Гарантийный срок 12 месяцев исчисляется с даты настоящего Акта.</w:t>
      </w:r>
    </w:p>
    <w:p>
      <w:pPr>
        <w:pStyle w:val="BodyText"/>
      </w:pPr>
      <w:r>
        <w:t xml:space="preserve">Замечания Заказчика: [нет / перечень].</w:t>
      </w:r>
    </w:p>
    <w:p>
      <w:pPr>
        <w:pStyle w:val="BodyText"/>
      </w:pPr>
      <w:r>
        <w:t xml:space="preserve">Исполнитель ……………… / Тимшин Л.Н., по доверенности Заказчик ……………… / [ФИО]</w:t>
      </w:r>
    </w:p>
    <w:bookmarkEnd w:id="31"/>
    <w:bookmarkStart w:id="32" w:name="X42eb5f9a01befcb7a8ab8263f14534cf6d68cd9"/>
    <w:p>
      <w:pPr>
        <w:pStyle w:val="Heading2"/>
      </w:pPr>
      <w:r>
        <w:t xml:space="preserve">Приложение 4. Памятка по уходу за паркетом</w:t>
      </w:r>
    </w:p>
    <w:p>
      <w:pPr>
        <w:numPr>
          <w:ilvl w:val="0"/>
          <w:numId w:val="1006"/>
        </w:numPr>
        <w:pStyle w:val="Compact"/>
      </w:pPr>
      <w:r>
        <w:t xml:space="preserve">Ходить в носках — не раньше чем через [24] часа после последнего слоя.</w:t>
      </w:r>
    </w:p>
    <w:p>
      <w:pPr>
        <w:numPr>
          <w:ilvl w:val="0"/>
          <w:numId w:val="1006"/>
        </w:numPr>
        <w:pStyle w:val="Compact"/>
      </w:pPr>
      <w:r>
        <w:t xml:space="preserve">Ставить лёгкую мебель — через [3] дня, тяжёлую — через [7] дней, ковры — через [14] дней.</w:t>
      </w:r>
    </w:p>
    <w:p>
      <w:pPr>
        <w:numPr>
          <w:ilvl w:val="0"/>
          <w:numId w:val="1006"/>
        </w:numPr>
        <w:pStyle w:val="Compact"/>
      </w:pPr>
      <w:r>
        <w:t xml:space="preserve">Мебель не двигать волоком, на ножки — войлочные накладки, под кресла на колёсиках — защитный коврик.</w:t>
      </w:r>
    </w:p>
    <w:p>
      <w:pPr>
        <w:numPr>
          <w:ilvl w:val="0"/>
          <w:numId w:val="1006"/>
        </w:numPr>
        <w:pStyle w:val="Compact"/>
      </w:pPr>
      <w:r>
        <w:t xml:space="preserve">Первая влажная уборка — не раньше чем через [14] дней. Дальше — хорошо отжатой салфеткой и средством для лакированного паркета, без паромоек, абразивов, растворителей и хлора.</w:t>
      </w:r>
    </w:p>
    <w:p>
      <w:pPr>
        <w:numPr>
          <w:ilvl w:val="0"/>
          <w:numId w:val="1006"/>
        </w:numPr>
        <w:pStyle w:val="Compact"/>
      </w:pPr>
      <w:r>
        <w:t xml:space="preserve">Разлитую воду сразу вытирать, цветы ставить на поддоны.</w:t>
      </w:r>
    </w:p>
    <w:p>
      <w:pPr>
        <w:numPr>
          <w:ilvl w:val="0"/>
          <w:numId w:val="1006"/>
        </w:numPr>
        <w:pStyle w:val="Compact"/>
      </w:pPr>
      <w:r>
        <w:t xml:space="preserve">Держать температуру +18…+25 °C и влажность 40–60% круглый год, зимой — с увлажнителем.</w:t>
      </w:r>
    </w:p>
    <w:p>
      <w:pPr>
        <w:numPr>
          <w:ilvl w:val="0"/>
          <w:numId w:val="1006"/>
        </w:numPr>
        <w:pStyle w:val="Compact"/>
      </w:pPr>
      <w:r>
        <w:t xml:space="preserve">У входной двери — коврик от песка. В обуви на каблуках по паркету не ходить, когти животным подстригать.</w:t>
      </w:r>
    </w:p>
    <w:p>
      <w:pPr>
        <w:numPr>
          <w:ilvl w:val="0"/>
          <w:numId w:val="1006"/>
        </w:numPr>
        <w:pStyle w:val="Compact"/>
      </w:pPr>
      <w:r>
        <w:t xml:space="preserve">Тёплый пол — не выше +27 °C на поверхности, включать плавно.</w:t>
      </w:r>
    </w:p>
    <w:p>
      <w:pPr>
        <w:pStyle w:val="FirstParagraph"/>
      </w:pPr>
      <w:r>
        <w:t xml:space="preserve">С Памяткой ознакомлен, экземпляр получил: Заказчик ……………… / [ФИО], [дата]</w:t>
      </w:r>
    </w:p>
    <w:bookmarkEnd w:id="32"/>
    <w:bookmarkEnd w:id="33"/>
    <w:sect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/>
    </w:pPr>
    <w:rPr>
      <w:rFonts w:ascii="Times New Roman" w:cs="Times New Roman" w:eastAsia="Times New Roman" w:hAnsi="Times New Roman"/>
      <w:color w:val="000000"/>
      <w:sz w:val="22"/>
    </w:rPr>
  </w:style>
  <w:style w:styleId="BodyText" w:type="paragraph">
    <w:name w:val="Body Text"/>
    <w:basedOn w:val="Normal"/>
    <w:link w:val="BodyTextChar"/>
    <w:pPr>
      <w:spacing w:after="80" w:before="0"/>
    </w:pPr>
    <w:qFormat/>
    <w:rPr>
      <w:rFonts w:ascii="Times New Roman" w:cs="Times New Roman" w:eastAsia="Times New Roman" w:hAnsi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/>
    </w:pPr>
    <w:rPr>
      <w:rFonts w:ascii="Times New Roman" w:cs="Times New Roman" w:eastAsia="Times New Roman" w:hAnsi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80" w:before="0"/>
    </w:pPr>
    <w:rPr>
      <w:rFonts w:ascii="Times New Roman" w:cs="Times New Roman" w:eastAsia="Times New Roman" w:hAnsi="Times New Roman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120"/>
      <w:jc w:val="center"/>
    </w:pPr>
    <w:rPr>
      <w:rFonts w:ascii="Times New Roman" w:cs="Times New Roman" w:eastAsia="Times New Roman" w:hAnsi="Times New Roman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  <w:rFonts w:ascii="Times New Roman" w:cs="Times New Roman" w:eastAsia="Times New Roman" w:hAnsi="Times New Roma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b/>
      <w:rFonts w:ascii="Times New Roman" w:cs="Times New Roman" w:eastAsia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color w:val="000000"/>
      <w:sz w:val="20"/>
      <w:szCs w:val="20"/>
      <w:rFonts w:ascii="Times New Roman" w:cs="Times New Roman" w:eastAsia="Times New Roman" w:hAnsi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12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Times New Roman" w:cs="Times New Roman" w:eastAsia="Times New Roman" w:hAnsi="Times New Roman"/>
      <w:b/>
      <w:bCs/>
      <w:color w:val="000000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Times New Roman" w:cs="Times New Roman" w:eastAsia="Times New Roman" w:hAnsi="Times New Roman"/>
      <w:b/>
      <w:bCs/>
      <w:color w:val="0000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Times New Roman" w:cs="Times New Roman" w:eastAsia="Times New Roman" w:hAnsi="Times New Roman"/>
      <w:i/>
      <w:b/>
      <w:bCs/>
      <w:color w:val="000000"/>
      <w:sz w:val="23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80" w:before="200"/>
      <w:outlineLvl w:val="4"/>
    </w:pPr>
    <w:rPr>
      <w:rFonts w:ascii="Times New Roman" w:cs="Times New Roman" w:eastAsia="Times New Roman" w:hAnsi="Times New Roman"/>
      <w:b/>
      <w:iCs/>
      <w:color w:val="000000"/>
      <w:sz w:val="23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80" w:before="200"/>
      <w:outlineLvl w:val="5"/>
    </w:pPr>
    <w:rPr>
      <w:rFonts w:ascii="Times New Roman" w:cs="Times New Roman" w:eastAsia="Times New Roman" w:hAnsi="Times New Roman"/>
      <w:b/>
      <w:color w:val="000000"/>
      <w:sz w:val="23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80" w:before="200"/>
      <w:outlineLvl w:val="6"/>
    </w:pPr>
    <w:rPr>
      <w:rFonts w:ascii="Times New Roman" w:cs="Times New Roman" w:eastAsia="Times New Roman" w:hAnsi="Times New Roman"/>
      <w:b/>
      <w:color w:val="000000"/>
      <w:sz w:val="23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80" w:before="200"/>
      <w:outlineLvl w:val="7"/>
    </w:pPr>
    <w:rPr>
      <w:rFonts w:ascii="Times New Roman" w:cs="Times New Roman" w:eastAsia="Times New Roman" w:hAnsi="Times New Roman"/>
      <w:b/>
      <w:color w:val="000000"/>
      <w:sz w:val="23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80" w:before="200"/>
      <w:outlineLvl w:val="8"/>
    </w:pPr>
    <w:rPr>
      <w:rFonts w:ascii="Times New Roman" w:cs="Times New Roman" w:eastAsia="Times New Roman" w:hAnsi="Times New Roman"/>
      <w:b/>
      <w:color w:val="000000"/>
      <w:sz w:val="23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cs="Times New Roman" w:eastAsia="Times New Roman" w:hAnsi="Times New Roman"/>
      <w:color w:val="000000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cs="Times New Roman" w:eastAsia="Times New Roman" w:hAnsi="Times New Roman"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</w:rPr>
  </w:style>
  <w:style w:styleId="FootnoteReference" w:type="character">
    <w:name w:val="Footnote Reference"/>
    <w:basedOn w:val="BodyTextChar"/>
    <w:rPr>
      <w:color w:val="000000"/>
      <w:vertAlign w:val="superscript"/>
      <w:rFonts w:ascii="Times New Roman" w:cs="Times New Roman" w:eastAsia="Times New Roman" w:hAnsi="Times New Roman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2026-10-12T10:40:30Z</dcterms:created>
  <dcterms:modified xsi:type="dcterms:W3CDTF">2026-10-12T10:40:30Z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