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360"/>
        <w:jc w:val="center"/>
      </w:pPr>
      <w:r>
        <w:rPr>
          <w:rFonts w:ascii="Arial Unicode MS" w:hAnsi="Arial Unicode MS" w:eastAsia="Arial Unicode MS"/>
          <w:b/>
          <w:color w:val="C48A2C"/>
          <w:sz w:val="22"/>
        </w:rPr>
        <w:t>工业蒸汽锅炉炉水检测与服务平台</w:t>
      </w:r>
    </w:p>
    <w:p>
      <w:pPr>
        <w:spacing w:before="2400" w:after="240"/>
        <w:jc w:val="center"/>
      </w:pPr>
      <w:r>
        <w:rPr>
          <w:rFonts w:ascii="Arial Unicode MS" w:hAnsi="Arial Unicode MS" w:eastAsia="Arial Unicode MS"/>
          <w:b/>
          <w:color w:val="174E4A"/>
          <w:sz w:val="60"/>
        </w:rPr>
        <w:t>炉保保智能</w:t>
      </w:r>
    </w:p>
    <w:p>
      <w:pPr>
        <w:spacing w:after="600"/>
        <w:jc w:val="center"/>
      </w:pPr>
      <w:r>
        <w:rPr>
          <w:rFonts w:ascii="Arial Unicode MS" w:hAnsi="Arial Unicode MS" w:eastAsia="Arial Unicode MS"/>
          <w:color w:val="0F6B67"/>
          <w:sz w:val="30"/>
        </w:rPr>
        <w:t>产品手册</w:t>
      </w:r>
    </w:p>
    <w:p>
      <w:pPr>
        <w:spacing w:after="1200"/>
        <w:ind w:left="648" w:right="648"/>
        <w:jc w:val="center"/>
      </w:pPr>
      <w:r>
        <w:rPr>
          <w:rFonts w:ascii="Arial Unicode MS" w:hAnsi="Arial Unicode MS" w:eastAsia="Arial Unicode MS"/>
          <w:color w:val="1F2933"/>
          <w:sz w:val="25"/>
        </w:rPr>
        <w:t>以材料包为服务载体，以六项炉水检测为核心，连接现场巡检、风险诊断、专业处置与客户订阅履约。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174E4A"/>
          <w:sz w:val="21"/>
        </w:rPr>
        <w:t xml:space="preserve">适用对象  </w:t>
      </w:r>
      <w:r>
        <w:rPr>
          <w:rFonts w:ascii="Arial Unicode MS" w:hAnsi="Arial Unicode MS" w:eastAsia="Arial Unicode MS"/>
          <w:color w:val="66727D"/>
          <w:sz w:val="21"/>
        </w:rPr>
        <w:t>工业蒸汽锅炉使用单位、锅炉水处理服务团队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174E4A"/>
          <w:sz w:val="21"/>
        </w:rPr>
        <w:t xml:space="preserve">当前版本  </w:t>
      </w:r>
      <w:r>
        <w:rPr>
          <w:rFonts w:ascii="Arial Unicode MS" w:hAnsi="Arial Unicode MS" w:eastAsia="Arial Unicode MS"/>
          <w:color w:val="66727D"/>
          <w:sz w:val="21"/>
        </w:rPr>
        <w:t>灰测版 · 人工读数 + 照片留样 + 后台审核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174E4A"/>
          <w:sz w:val="21"/>
        </w:rPr>
        <w:t xml:space="preserve">文档版本  </w:t>
      </w:r>
      <w:r>
        <w:rPr>
          <w:rFonts w:ascii="Arial Unicode MS" w:hAnsi="Arial Unicode MS" w:eastAsia="Arial Unicode MS"/>
          <w:color w:val="66727D"/>
          <w:sz w:val="21"/>
        </w:rPr>
        <w:t>V1.0 · 2026年7月</w:t>
      </w:r>
    </w:p>
    <w:p>
      <w:pPr>
        <w:spacing w:before="1440"/>
        <w:jc w:val="center"/>
      </w:pPr>
      <w:r>
        <w:rPr>
          <w:rFonts w:ascii="Arial Unicode MS" w:hAnsi="Arial Unicode MS" w:eastAsia="Arial Unicode MS"/>
          <w:color w:val="66727D"/>
          <w:sz w:val="19"/>
        </w:rPr>
        <w:t>本系统用于日常巡检、趋势预警和维护辅助，不替代法定检验、实验室检测或专业人员最终判断。</w:t>
      </w:r>
    </w:p>
    <w:p>
      <w:r>
        <w:br w:type="page"/>
      </w:r>
    </w:p>
    <w:p>
      <w:pPr>
        <w:pStyle w:val="Heading1"/>
      </w:pPr>
      <w:r>
        <w:t>阅读指南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本手册用于产品介绍、客户沟通、内部培训和实施准备。内容以2026年7月已完成版本为基础，并对规划能力作出明确标注。</w:t>
      </w:r>
    </w:p>
    <w:p>
      <w:pPr>
        <w:spacing w:before="120" w:after="200" w:line="288" w:lineRule="auto"/>
        <w:ind w:left="144" w:right="144"/>
        <w:shd w:fill="EEF6F5"/>
        <w:pBdr>
          <w:left w:val="single" w:sz="18" w:space="8" w:color="0F6B67"/>
        </w:pBdr>
      </w:pPr>
      <w:r>
        <w:rPr>
          <w:rFonts w:ascii="Arial Unicode MS" w:hAnsi="Arial Unicode MS" w:eastAsia="Arial Unicode MS"/>
          <w:b/>
          <w:color w:val="174E4A"/>
        </w:rPr>
        <w:t xml:space="preserve">一句话理解  </w:t>
      </w:r>
      <w:r>
        <w:rPr>
          <w:rFonts w:ascii="Arial Unicode MS" w:hAnsi="Arial Unicode MS" w:eastAsia="Arial Unicode MS"/>
          <w:color w:val="1F2933"/>
        </w:rPr>
        <w:t>炉保保是面向工业蒸汽锅炉的炉水巡检与服务平台：现场人员使用材料包完成六项检测，系统形成风险判断，后台服务人员跟进处置，企业按订阅周期持续获得材料包和服务。</w:t>
      </w:r>
    </w:p>
    <w:p>
      <w:pPr>
        <w:pStyle w:val="Heading2"/>
      </w:pPr>
      <w:r>
        <w:t>目录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1. 产品概览与价值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2. 用户角色与产品组成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3. 端到端业务流程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4. 手机端功能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5. 管理后台功能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6. 客户订阅与材料包履约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7. 六项炉水检测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8. 照片质量与识别样本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9. 风险诊断、处置与复测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10. 权限、数据与部署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11. 当前边界与产品路线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附录：状态说明、术语与常见问题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1  产品概览与价值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从一次试纸检测，延伸到持续的锅炉水处理服务</w:t>
      </w:r>
    </w:p>
    <w:p>
      <w:pPr>
        <w:pStyle w:val="Heading2"/>
      </w:pPr>
      <w:r>
        <w:t>1.1 产品定位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炉保保智能是一套围绕工业蒸汽锅炉炉水检测构建的数字化产品。系统以材料包作为客户订阅和现场检测的服务载体，以pH、磷酸根、亚硫酸根、总碱度、氯离子、硬度六项指标为核心，连接客户、企业、锅炉、巡检员、服务支持人员和检测数据。</w:t>
      </w:r>
    </w:p>
    <w:p>
      <w:pPr>
        <w:pStyle w:val="Heading2"/>
      </w:pPr>
      <w:r>
        <w:t>1.2 解决的问题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纸质巡检记录分散，历史数据难以检索和比较。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材料包销售、发货、激活和实际锅炉使用之间缺少可追踪关系。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现场读数异常后，处理意见、处置动作和复测结果难以形成闭环。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试纸照片和人工读数没有结构化沉淀，后续难以训练可靠的识别算法。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客户订阅、收款、季度发包与服务履约缺少统一后台。</w:t>
      </w:r>
    </w:p>
    <w:p>
      <w:pPr>
        <w:pStyle w:val="Heading2"/>
      </w:pPr>
      <w:r>
        <w:t>1.3 产品价值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核心价值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锅炉使用单位</w:t>
            </w:r>
          </w:p>
        </w:tc>
        <w:tc>
          <w:tcPr>
            <w:tcW w:type="dxa" w:w="74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统一记录炉水检测、异常风险、现场处置和历史趋势。</w:t>
            </w:r>
          </w:p>
        </w:tc>
      </w:tr>
      <w:tr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巡检人员</w:t>
            </w:r>
          </w:p>
        </w:tc>
        <w:tc>
          <w:tcPr>
            <w:tcW w:type="dxa" w:w="74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使用手机完成扫码、拍照、六项录入、结果确认与复测。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服务支持团队</w:t>
            </w:r>
          </w:p>
        </w:tc>
        <w:tc>
          <w:tcPr>
            <w:tcW w:type="dxa" w:w="74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集中处理异常提醒，结合照片和历史数据提供专业意见。</w:t>
            </w:r>
          </w:p>
        </w:tc>
      </w:tr>
      <w:tr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运营与销售</w:t>
            </w:r>
          </w:p>
        </w:tc>
        <w:tc>
          <w:tcPr>
            <w:tcW w:type="dxa" w:w="74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管理客户档位、订阅订单、收款、服务周期和材料包履约。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产品与算法团队</w:t>
            </w:r>
          </w:p>
        </w:tc>
        <w:tc>
          <w:tcPr>
            <w:tcW w:type="dxa" w:w="74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沉淀照片、人工值、AI值和后台确认值，建设可审计样本库。</w:t>
            </w:r>
          </w:p>
        </w:tc>
      </w:tr>
    </w:tbl>
    <w:p>
      <w:pPr>
        <w:spacing w:after="20"/>
      </w:pPr>
    </w:p>
    <w:p>
      <w:pPr>
        <w:spacing w:before="120" w:after="200" w:line="288" w:lineRule="auto"/>
        <w:ind w:left="144" w:right="144"/>
        <w:shd w:fill="FBF5E8"/>
        <w:pBdr>
          <w:left w:val="single" w:sz="18" w:space="8" w:color="C48A2C"/>
        </w:pBdr>
      </w:pPr>
      <w:r>
        <w:rPr>
          <w:rFonts w:ascii="Arial Unicode MS" w:hAnsi="Arial Unicode MS" w:eastAsia="Arial Unicode MS"/>
          <w:b/>
          <w:color w:val="174E4A"/>
        </w:rPr>
        <w:t xml:space="preserve">适用范围  </w:t>
      </w:r>
      <w:r>
        <w:rPr>
          <w:rFonts w:ascii="Arial Unicode MS" w:hAnsi="Arial Unicode MS" w:eastAsia="Arial Unicode MS"/>
          <w:color w:val="1F2933"/>
        </w:rPr>
        <w:t>当前版本只处理工业蒸汽锅炉的锅水/炉水，不处理给水，也不感知锅炉启停状态。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2  用户角色与产品组成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不同岗位在同一数据链路上协作</w:t>
      </w:r>
    </w:p>
    <w:p>
      <w:pPr>
        <w:pStyle w:val="Heading2"/>
      </w:pPr>
      <w:r>
        <w:t>2.1 用户角色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1800"/>
        <w:gridCol w:w="5260"/>
        <w:gridCol w:w="230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主要使用端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平台管理员</w:t>
            </w:r>
          </w:p>
        </w:tc>
        <w:tc>
          <w:tcPr>
            <w:tcW w:type="dxa" w:w="52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管理客户、企业、订阅、材料包、锅炉、标准、样本、服务任务和权限。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管理后台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企业管理员</w:t>
            </w:r>
          </w:p>
        </w:tc>
        <w:tc>
          <w:tcPr>
            <w:tcW w:type="dxa" w:w="52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维护本企业锅炉、用户和巡检数据，查看企业服务情况。</w:t>
            </w:r>
          </w:p>
        </w:tc>
        <w:tc>
          <w:tcPr>
            <w:tcW w:type="dxa" w:w="23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管理后台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巡检员</w:t>
            </w:r>
          </w:p>
        </w:tc>
        <w:tc>
          <w:tcPr>
            <w:tcW w:type="dxa" w:w="52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登录、扫码绑定、选择锅炉、拍照、录入读数、查看结果和执行复测。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微信小程序 / H5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服务支持人员</w:t>
            </w:r>
          </w:p>
        </w:tc>
        <w:tc>
          <w:tcPr>
            <w:tcW w:type="dxa" w:w="52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查看异常、照片与历史趋势，填写专业意见并跟进复测。</w:t>
            </w:r>
          </w:p>
        </w:tc>
        <w:tc>
          <w:tcPr>
            <w:tcW w:type="dxa" w:w="23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管理后台</w:t>
            </w:r>
          </w:p>
        </w:tc>
      </w:tr>
    </w:tbl>
    <w:p>
      <w:pPr>
        <w:spacing w:after="20"/>
      </w:pPr>
    </w:p>
    <w:p>
      <w:pPr>
        <w:pStyle w:val="Heading2"/>
      </w:pPr>
      <w:r>
        <w:t>2.2 产品组成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5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当前主要能力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微信小程序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现场主入口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登录、材料包绑定、锅炉选择、巡检、记录、报告、我的。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H5移动端</w:t>
            </w:r>
          </w:p>
        </w:tc>
        <w:tc>
          <w:tcPr>
            <w:tcW w:type="dxa" w:w="22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灰测与内测入口</w:t>
            </w:r>
          </w:p>
        </w:tc>
        <w:tc>
          <w:tcPr>
            <w:tcW w:type="dxa" w:w="5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在不经过小程序发布审核时快速验证完整巡检流程。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管理后台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运营和服务工作台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客户订阅、材料包、锅炉、标准、巡检、样本、处置、月报和权限。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后端API与MySQL</w:t>
            </w:r>
          </w:p>
        </w:tc>
        <w:tc>
          <w:tcPr>
            <w:tcW w:type="dxa" w:w="22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业务与数据中枢</w:t>
            </w:r>
          </w:p>
        </w:tc>
        <w:tc>
          <w:tcPr>
            <w:tcW w:type="dxa" w:w="5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身份权限、业务规则、结果判断、审计记录、图片和结构化数据。</w:t>
            </w:r>
          </w:p>
        </w:tc>
      </w:tr>
    </w:tbl>
    <w:p>
      <w:pPr>
        <w:spacing w:after="20"/>
      </w:pPr>
    </w:p>
    <w:p>
      <w:pPr>
        <w:pStyle w:val="Heading2"/>
      </w:pPr>
      <w:r>
        <w:t>2.3 手机端导航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微信小程序采用四个底部导航：首页、巡检、记录、我的。界面以长者友好为原则，使用较大字号、清晰按钮和简单操作路径。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3  端到端业务流程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从客户付款到材料包履约，再到检测与服务闭环</w:t>
      </w:r>
    </w:p>
    <w:p>
      <w:pPr>
        <w:pStyle w:val="Heading2"/>
      </w:pPr>
      <w:r>
        <w:t>3.1 商业与履约主流程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销售或运营建立企业档案与客户账户，选择试用或订阅档位。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创建订阅订单，记录服务期限、应收金额、合同编号和销售负责人。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客户付款后，后台确认收款并生成对应服务周期。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运营人员按服务周期分配材料包，生成材料包编码与二维码。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材料包发货到客户现场，首次用户扫码完成企业、锅炉和用户绑定。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巡检员在有效服务期内发起巡检，完成拍照和六项读数录入。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系统根据锅炉额定压力匹配检测标准，生成单项判断、组合风险和建议。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异常结果进入服务处置，现场执行排污、加药或设备检查，后台补充专业意见。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根据现场决定复测或不复测，所有结果与原巡检关联保存。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系统按月汇总巡检、风险、处置和复测信息，支持客户服务回顾与续费。</w:t>
      </w:r>
    </w:p>
    <w:p>
      <w:pPr>
        <w:pStyle w:val="Heading2"/>
      </w:pPr>
      <w:r>
        <w:t>3.2 登录与材料包门禁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系统行为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首次登录且未绑定材料包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强制进入扫码页，不能直接发起巡检。</w:t>
            </w:r>
          </w:p>
        </w:tc>
      </w:tr>
      <w:tr>
        <w:tc>
          <w:tcPr>
            <w:tcW w:type="dxa" w:w="30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已绑定且材料包有效</w:t>
            </w:r>
          </w:p>
        </w:tc>
        <w:tc>
          <w:tcPr>
            <w:tcW w:type="dxa" w:w="6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进入首页，可以选择绑定锅炉并开展巡检。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材料包已过期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允许进入首页和查看历史，但不能发起新的有效巡检。</w:t>
            </w:r>
          </w:p>
        </w:tc>
      </w:tr>
      <w:tr>
        <w:tc>
          <w:tcPr>
            <w:tcW w:type="dxa" w:w="30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材料包作废或解除绑定</w:t>
            </w:r>
          </w:p>
        </w:tc>
        <w:tc>
          <w:tcPr>
            <w:tcW w:type="dxa" w:w="6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要求重新扫码更换材料包。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材料包、企业、锅炉不一致</w:t>
            </w:r>
          </w:p>
        </w:tc>
        <w:tc>
          <w:tcPr>
            <w:tcW w:type="dxa" w:w="6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创建巡检时拦截，避免跨企业或错锅炉使用。</w:t>
            </w:r>
          </w:p>
        </w:tc>
      </w:tr>
    </w:tbl>
    <w:p>
      <w:pPr>
        <w:spacing w:after="20"/>
      </w:pPr>
    </w:p>
    <w:p>
      <w:pPr>
        <w:spacing w:before="120" w:after="200" w:line="288" w:lineRule="auto"/>
        <w:ind w:left="144" w:right="144"/>
        <w:shd w:fill="EEF6F5"/>
        <w:pBdr>
          <w:left w:val="single" w:sz="18" w:space="8" w:color="0F6B67"/>
        </w:pBdr>
      </w:pPr>
      <w:r>
        <w:rPr>
          <w:rFonts w:ascii="Arial Unicode MS" w:hAnsi="Arial Unicode MS" w:eastAsia="Arial Unicode MS"/>
          <w:b/>
          <w:color w:val="174E4A"/>
        </w:rPr>
        <w:t xml:space="preserve">关键原则  </w:t>
      </w:r>
      <w:r>
        <w:rPr>
          <w:rFonts w:ascii="Arial Unicode MS" w:hAnsi="Arial Unicode MS" w:eastAsia="Arial Unicode MS"/>
          <w:color w:val="1F2933"/>
        </w:rPr>
        <w:t>材料包不是单纯兑换码，而是客户服务期、企业、锅炉、巡检用户和检测数据之间的连接载体。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4  手机端功能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让现场巡检尽量少走弯路</w:t>
      </w:r>
    </w:p>
    <w:p>
      <w:pPr>
        <w:pStyle w:val="Heading2"/>
      </w:pPr>
      <w:r>
        <w:t>4.1 首页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显示当前用户、企业、锅炉和材料包状态。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呈现待处理提醒、最近巡检和常用入口。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材料包过期时仍可进入首页，但巡检入口受限。</w:t>
      </w:r>
    </w:p>
    <w:p>
      <w:pPr>
        <w:pStyle w:val="Heading2"/>
      </w:pPr>
      <w:r>
        <w:t>4.2 巡检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确认当前锅炉，校验材料包已激活且绑定一致。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按现场操作规程完成取样和六项试纸检测。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拍摄试纸和色卡照片，系统上传并检查基础质量。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灰测阶段由用户人工填写六项读数。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确认读数后提交，系统生成评分、异常项、组合风险和处置建议。</w:t>
      </w:r>
    </w:p>
    <w:p>
      <w:pPr>
        <w:pStyle w:val="Heading2"/>
      </w:pPr>
      <w:r>
        <w:t>4.3 记录与结果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用户可查看历史巡检列表、单次结果详情、六项检测值、适用范围、风险诊断和现场处置建议。结果提交后形成正式业务记录。</w:t>
      </w:r>
    </w:p>
    <w:p>
      <w:pPr>
        <w:pStyle w:val="Heading2"/>
      </w:pPr>
      <w:r>
        <w:t>4.4 我的与复测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“我的”用于查看账号、企业、绑定状态和待复测任务。复测任务可进入新一轮巡检，也可由现场或后台记录暂不复测/不复测原因，处理逻辑不强制写死。</w:t>
      </w:r>
    </w:p>
    <w:p>
      <w:pPr>
        <w:spacing w:before="120" w:after="200" w:line="288" w:lineRule="auto"/>
        <w:ind w:left="144" w:right="144"/>
        <w:shd w:fill="FBF5E8"/>
        <w:pBdr>
          <w:left w:val="single" w:sz="18" w:space="8" w:color="C48A2C"/>
        </w:pBdr>
      </w:pPr>
      <w:r>
        <w:rPr>
          <w:rFonts w:ascii="Arial Unicode MS" w:hAnsi="Arial Unicode MS" w:eastAsia="Arial Unicode MS"/>
          <w:b/>
          <w:color w:val="174E4A"/>
        </w:rPr>
        <w:t xml:space="preserve">当前灰测方式  </w:t>
      </w:r>
      <w:r>
        <w:rPr>
          <w:rFonts w:ascii="Arial Unicode MS" w:hAnsi="Arial Unicode MS" w:eastAsia="Arial Unicode MS"/>
          <w:color w:val="1F2933"/>
        </w:rPr>
        <w:t>照片必须保留，但六项结果仍由现场人员人工读数并录入；真正的照片自动读数属于后续规划能力。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5  管理后台功能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商业管理、履约管理、检测服务与平台配置四个业务域</w:t>
      </w:r>
    </w:p>
    <w:p>
      <w:pPr>
        <w:pStyle w:val="Heading2"/>
      </w:pPr>
      <w:r>
        <w:t>5.1 功能总览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业务域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业务逻辑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工作台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运营概览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汇总客户、锅炉、材料包、巡检和待处理事项。</w:t>
            </w:r>
          </w:p>
        </w:tc>
      </w:tr>
      <w:tr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客户运营</w:t>
            </w:r>
          </w:p>
        </w:tc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客户账户</w:t>
            </w:r>
          </w:p>
        </w:tc>
        <w:tc>
          <w:tcPr>
            <w:tcW w:type="dxa" w:w="59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区分试用与订阅客户，维护联系人、服务状态和客户详情。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客户运营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订阅与收款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创建订单、确认收款、生成服务周期、退款和履约分配。</w:t>
            </w:r>
          </w:p>
        </w:tc>
      </w:tr>
      <w:tr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客户运营</w:t>
            </w:r>
          </w:p>
        </w:tc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企业档案</w:t>
            </w:r>
          </w:p>
        </w:tc>
        <w:tc>
          <w:tcPr>
            <w:tcW w:type="dxa" w:w="59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维护实际使用锅炉的企业主体，是数据权限边界。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履约资产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材料包管理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完成入库、批量生成、预分配、二维码、绑定、作废和有效期管理。</w:t>
            </w:r>
          </w:p>
        </w:tc>
      </w:tr>
      <w:tr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履约资产</w:t>
            </w:r>
          </w:p>
        </w:tc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扫码与绑定记录</w:t>
            </w:r>
          </w:p>
        </w:tc>
        <w:tc>
          <w:tcPr>
            <w:tcW w:type="dxa" w:w="59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审计扫码、首次绑定、换包、解绑、作废和失败原因。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履约资产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锅炉档案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维护设备资料和额定压力，为标准匹配提供依据。</w:t>
            </w:r>
          </w:p>
        </w:tc>
      </w:tr>
      <w:tr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巡检服务</w:t>
            </w:r>
          </w:p>
        </w:tc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巡检记录</w:t>
            </w:r>
          </w:p>
        </w:tc>
        <w:tc>
          <w:tcPr>
            <w:tcW w:type="dxa" w:w="59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查看原始照片、六项结果、评分、诊断、处置和备注。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巡检服务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识别样本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审核照片质量与六项标签，沉淀AI训练候选数据。</w:t>
            </w:r>
          </w:p>
        </w:tc>
      </w:tr>
      <w:tr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巡检服务</w:t>
            </w:r>
          </w:p>
        </w:tc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服务处置</w:t>
            </w:r>
          </w:p>
        </w:tc>
        <w:tc>
          <w:tcPr>
            <w:tcW w:type="dxa" w:w="59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跟进异常、专业意见、现场动作和复测结果。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巡检服务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月报中心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按企业和月份汇总巡检与风险信息。</w:t>
            </w:r>
          </w:p>
        </w:tc>
      </w:tr>
      <w:tr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规则配置</w:t>
            </w:r>
          </w:p>
        </w:tc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检测标准</w:t>
            </w:r>
          </w:p>
        </w:tc>
        <w:tc>
          <w:tcPr>
            <w:tcW w:type="dxa" w:w="59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按压力段维护六项上下限、单位、依据和启用状态。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系统管理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用户与权限</w:t>
            </w:r>
          </w:p>
        </w:tc>
        <w:tc>
          <w:tcPr>
            <w:tcW w:type="dxa" w:w="59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管理平台管理员、企业管理员和巡检员。</w:t>
            </w:r>
          </w:p>
        </w:tc>
      </w:tr>
      <w:tr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系统管理</w:t>
            </w:r>
          </w:p>
        </w:tc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接口诊断</w:t>
            </w:r>
          </w:p>
        </w:tc>
        <w:tc>
          <w:tcPr>
            <w:tcW w:type="dxa" w:w="59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灰测期间查看最近接口请求结果，辅助定位联调问题。</w:t>
            </w:r>
          </w:p>
        </w:tc>
      </w:tr>
    </w:tbl>
    <w:p>
      <w:pPr>
        <w:spacing w:after="20"/>
      </w:pPr>
    </w:p>
    <w:p>
      <w:pPr>
        <w:pStyle w:val="Heading2"/>
      </w:pPr>
      <w:r>
        <w:t>5.2 客户与企业为什么分开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客户账户描述商业关系，企业档案描述实际生产主体。分开后，一个客户可以在后续扩展多个企业、厂区、合同和服务周期；企业停用不会抹掉历史订单，客户续费也不会改变锅炉档案。</w:t>
      </w:r>
    </w:p>
    <w:p>
      <w:pPr>
        <w:pStyle w:val="Heading2"/>
      </w:pPr>
      <w:r>
        <w:t>5.3 识别样本的定位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“识别样本”不是直接识别照片的普通业务页，而是训练数据质量管理页面。巡检照片、图片质量、人工值、未来AI值和后台确认值分别保存。待审核样本不进入正式训练集，已剔除样本保留审计记录但不用于训练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6  客户订阅与材料包履约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把客户缴费、服务期限和现场耗材连接起来</w:t>
      </w:r>
    </w:p>
    <w:p>
      <w:pPr>
        <w:pStyle w:val="Heading2"/>
      </w:pPr>
      <w:r>
        <w:t>6.1 客户档位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2200"/>
        <w:gridCol w:w="4000"/>
        <w:gridCol w:w="31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当前规则</w:t>
            </w:r>
          </w:p>
        </w:tc>
        <w:tc>
          <w:tcPr>
            <w:tcW w:type="dxa" w:w="3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试用账户</w:t>
            </w:r>
          </w:p>
        </w:tc>
        <w:tc>
          <w:tcPr>
            <w:tcW w:type="dxa" w:w="40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1个月服务期，分配1个测试材料包。</w:t>
            </w:r>
          </w:p>
        </w:tc>
        <w:tc>
          <w:tcPr>
            <w:tcW w:type="dxa" w:w="31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初次体验、试点验证。</w:t>
            </w:r>
          </w:p>
        </w:tc>
      </w:tr>
      <w:tr>
        <w:tc>
          <w:tcPr>
            <w:tcW w:type="dxa" w:w="22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订阅账户</w:t>
            </w:r>
          </w:p>
        </w:tc>
        <w:tc>
          <w:tcPr>
            <w:tcW w:type="dxa" w:w="40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每季度3个月，分配3个材料包；订阅期可按季度数延长。</w:t>
            </w:r>
          </w:p>
        </w:tc>
        <w:tc>
          <w:tcPr>
            <w:tcW w:type="dxa" w:w="31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持续巡检与服务。</w:t>
            </w:r>
          </w:p>
        </w:tc>
      </w:tr>
    </w:tbl>
    <w:p>
      <w:pPr>
        <w:spacing w:after="20"/>
      </w:pPr>
    </w:p>
    <w:p>
      <w:pPr>
        <w:pStyle w:val="Heading2"/>
      </w:pPr>
      <w:r>
        <w:t>6.2 订阅订单状态逻辑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订单创建后处于待收款状态，不直接启用服务。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确认收款后生成服务周期和待发包任务。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材料包分配完成后，该周期标记为已履约。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取消或退款需要撤销未履约周期，并回收尚未激活的材料包。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已产生实际使用记录的材料包不能简单删除，应通过作废和审计记录处理。</w:t>
      </w:r>
    </w:p>
    <w:p>
      <w:pPr>
        <w:pStyle w:val="Heading2"/>
      </w:pPr>
      <w:r>
        <w:t>6.3 材料包生命周期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材料包主要经历：未激活 → 已激活 → 使用中 → 已耗尽/已过期/已作废。系统保存编码、批次、销售单、仓库位置、生产日期、有效期、二维码、所属企业、绑定锅炉和用户绑定记录。</w:t>
      </w:r>
    </w:p>
    <w:p>
      <w:pPr>
        <w:spacing w:before="120" w:after="200" w:line="288" w:lineRule="auto"/>
        <w:ind w:left="144" w:right="144"/>
        <w:shd w:fill="FBF5E8"/>
        <w:pBdr>
          <w:left w:val="single" w:sz="18" w:space="8" w:color="C48A2C"/>
        </w:pBdr>
      </w:pPr>
      <w:r>
        <w:rPr>
          <w:rFonts w:ascii="Arial Unicode MS" w:hAnsi="Arial Unicode MS" w:eastAsia="Arial Unicode MS"/>
          <w:b/>
          <w:color w:val="174E4A"/>
        </w:rPr>
        <w:t xml:space="preserve">二维码原则  </w:t>
      </w:r>
      <w:r>
        <w:rPr>
          <w:rFonts w:ascii="Arial Unicode MS" w:hAnsi="Arial Unicode MS" w:eastAsia="Arial Unicode MS"/>
          <w:color w:val="1F2933"/>
        </w:rPr>
        <w:t>二维码应携带不可预测的安全令牌，并跳转到小程序绑定场景；材料包编码可展示，但不应作为唯一安全凭证。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7  六项炉水检测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当前优先使用试纸，兼顾现场可执行性</w:t>
      </w:r>
    </w:p>
    <w:p>
      <w:pPr>
        <w:pStyle w:val="Heading2"/>
      </w:pPr>
      <w:r>
        <w:t>7.1 检测项目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900"/>
        <w:gridCol w:w="1500"/>
        <w:gridCol w:w="2850"/>
        <w:gridCol w:w="411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当前默认建议范围</w:t>
            </w:r>
          </w:p>
        </w:tc>
        <w:tc>
          <w:tcPr>
            <w:tcW w:type="dxa" w:w="41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维护意义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1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pH</w:t>
            </w:r>
          </w:p>
        </w:tc>
        <w:tc>
          <w:tcPr>
            <w:tcW w:type="dxa" w:w="285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8.5–10.5</w:t>
            </w:r>
          </w:p>
        </w:tc>
        <w:tc>
          <w:tcPr>
            <w:tcW w:type="dxa" w:w="411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判断酸碱性和基础防腐保护。</w:t>
            </w:r>
          </w:p>
        </w:tc>
      </w:tr>
      <w:tr>
        <w:tc>
          <w:tcPr>
            <w:tcW w:type="dxa" w:w="900"/>
            <w:shd w:fill="F3F5F6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2</w:t>
            </w:r>
          </w:p>
        </w:tc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磷酸根</w:t>
            </w:r>
          </w:p>
        </w:tc>
        <w:tc>
          <w:tcPr>
            <w:tcW w:type="dxa" w:w="285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10–30 mg/L</w:t>
            </w:r>
          </w:p>
        </w:tc>
        <w:tc>
          <w:tcPr>
            <w:tcW w:type="dxa" w:w="411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判断防垢药剂余量。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3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亚硫酸根</w:t>
            </w:r>
          </w:p>
        </w:tc>
        <w:tc>
          <w:tcPr>
            <w:tcW w:type="dxa" w:w="285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10–30 mg/L</w:t>
            </w:r>
          </w:p>
        </w:tc>
        <w:tc>
          <w:tcPr>
            <w:tcW w:type="dxa" w:w="411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判断除氧剂余量和氧腐蚀风险。</w:t>
            </w:r>
          </w:p>
        </w:tc>
      </w:tr>
      <w:tr>
        <w:tc>
          <w:tcPr>
            <w:tcW w:type="dxa" w:w="900"/>
            <w:shd w:fill="F3F5F6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4</w:t>
            </w:r>
          </w:p>
        </w:tc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总碱度</w:t>
            </w:r>
          </w:p>
        </w:tc>
        <w:tc>
          <w:tcPr>
            <w:tcW w:type="dxa" w:w="285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下限6 mmol/L；上限按压力段</w:t>
            </w:r>
          </w:p>
        </w:tc>
        <w:tc>
          <w:tcPr>
            <w:tcW w:type="dxa" w:w="411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判断缓冲能力、加药和汽水共腾风险。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5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氯离子</w:t>
            </w:r>
          </w:p>
        </w:tc>
        <w:tc>
          <w:tcPr>
            <w:tcW w:type="dxa" w:w="285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≤300 mg/L</w:t>
            </w:r>
          </w:p>
        </w:tc>
        <w:tc>
          <w:tcPr>
            <w:tcW w:type="dxa" w:w="411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判断浓缩、排污和点蚀风险。</w:t>
            </w:r>
          </w:p>
        </w:tc>
      </w:tr>
      <w:tr>
        <w:tc>
          <w:tcPr>
            <w:tcW w:type="dxa" w:w="900"/>
            <w:shd w:fill="F3F5F6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6</w:t>
            </w:r>
          </w:p>
        </w:tc>
        <w:tc>
          <w:tcPr>
            <w:tcW w:type="dxa" w:w="1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硬度</w:t>
            </w:r>
          </w:p>
        </w:tc>
        <w:tc>
          <w:tcPr>
            <w:tcW w:type="dxa" w:w="285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≤0.03 mmol/L</w:t>
            </w:r>
          </w:p>
        </w:tc>
        <w:tc>
          <w:tcPr>
            <w:tcW w:type="dxa" w:w="411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判断钙镁残留、软化效果和结垢风险。</w:t>
            </w:r>
          </w:p>
        </w:tc>
      </w:tr>
    </w:tbl>
    <w:p>
      <w:pPr>
        <w:spacing w:after="20"/>
      </w:pPr>
    </w:p>
    <w:p>
      <w:pPr>
        <w:spacing w:before="120" w:after="200" w:line="288" w:lineRule="auto"/>
        <w:ind w:left="144" w:right="144"/>
        <w:shd w:fill="FBF5E8"/>
        <w:pBdr>
          <w:left w:val="single" w:sz="18" w:space="8" w:color="C48A2C"/>
        </w:pBdr>
      </w:pPr>
      <w:r>
        <w:rPr>
          <w:rFonts w:ascii="Arial Unicode MS" w:hAnsi="Arial Unicode MS" w:eastAsia="Arial Unicode MS"/>
          <w:b/>
          <w:color w:val="174E4A"/>
        </w:rPr>
        <w:t xml:space="preserve">标准声明  </w:t>
      </w:r>
      <w:r>
        <w:rPr>
          <w:rFonts w:ascii="Arial Unicode MS" w:hAnsi="Arial Unicode MS" w:eastAsia="Arial Unicode MS"/>
          <w:color w:val="1F2933"/>
        </w:rPr>
        <w:t>以上为当前灰测默认配置，不等同于对所有锅炉、水处理方式和监管场景均适用的最终法定限值。正式上线前必须由专业人员结合适用标准版本、额定压力和现场方案复核。</w:t>
      </w:r>
    </w:p>
    <w:p>
      <w:pPr>
        <w:pStyle w:val="Heading2"/>
      </w:pPr>
      <w:r>
        <w:t>7.2 压力段匹配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额定压力段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总碱度灰测默认范围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P ≤ 1.0 MPa</w:t>
            </w:r>
          </w:p>
        </w:tc>
        <w:tc>
          <w:tcPr>
            <w:tcW w:type="dxa" w:w="4680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6–26 mmol/L</w:t>
            </w:r>
          </w:p>
        </w:tc>
      </w:tr>
      <w:tr>
        <w:tc>
          <w:tcPr>
            <w:tcW w:type="dxa" w:w="4680"/>
            <w:shd w:fill="F3F5F6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1.0 &lt; P ≤ 1.6 MPa</w:t>
            </w:r>
          </w:p>
        </w:tc>
        <w:tc>
          <w:tcPr>
            <w:tcW w:type="dxa" w:w="4680"/>
            <w:shd w:fill="F3F5F6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6–24 mmol/L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1.6 &lt; P ≤ 2.5 MPa</w:t>
            </w:r>
          </w:p>
        </w:tc>
        <w:tc>
          <w:tcPr>
            <w:tcW w:type="dxa" w:w="4680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6–16 mmol/L</w:t>
            </w:r>
          </w:p>
        </w:tc>
      </w:tr>
      <w:tr>
        <w:tc>
          <w:tcPr>
            <w:tcW w:type="dxa" w:w="4680"/>
            <w:shd w:fill="F3F5F6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2.5 &lt; P ≤ 3.8 MPa</w:t>
            </w:r>
          </w:p>
        </w:tc>
        <w:tc>
          <w:tcPr>
            <w:tcW w:type="dxa" w:w="4680"/>
            <w:shd w:fill="F3F5F6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6–12 mmol/L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锅炉额定压力缺失或超出已配置范围时，系统可以保存检测值，但应标记为“标准未匹配”，不能输出确定的合格结论。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8  照片质量与识别样本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先保证数据可信，再逐步开发自动读数</w:t>
      </w:r>
    </w:p>
    <w:p>
      <w:pPr>
        <w:pStyle w:val="Heading2"/>
      </w:pPr>
      <w:r>
        <w:t>8.1 拍摄要求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试纸、显色区域和比色卡完整进入画面。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使用均匀白光，避免彩色灯、闪光灯直射、蒸汽和水雾。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手机镜头与试纸尽量平行，对焦在反应区和色卡刻度。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按试纸说明书规定的显色时间拍摄。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同一批次尽量使用一致背景和拍摄流程。</w:t>
      </w:r>
    </w:p>
    <w:p>
      <w:pPr>
        <w:pStyle w:val="Heading2"/>
      </w:pPr>
      <w:r>
        <w:t>8.2 基础质量检查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当前规则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格式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JPG、PNG或WebP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其他格式拒绝</w:t>
            </w:r>
          </w:p>
        </w:tc>
      </w:tr>
      <w:tr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大小上限</w:t>
            </w:r>
          </w:p>
        </w:tc>
        <w:tc>
          <w:tcPr>
            <w:tcW w:type="dxa" w:w="3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不超过12MB</w:t>
            </w:r>
          </w:p>
        </w:tc>
        <w:tc>
          <w:tcPr>
            <w:tcW w:type="dxa" w:w="35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超限拒绝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分辨率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短边至少720像素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不足判定不合格</w:t>
            </w:r>
          </w:p>
        </w:tc>
      </w:tr>
      <w:tr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文件过小</w:t>
            </w:r>
          </w:p>
        </w:tc>
        <w:tc>
          <w:tcPr>
            <w:tcW w:type="dxa" w:w="3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小于30KB</w:t>
            </w:r>
          </w:p>
        </w:tc>
        <w:tc>
          <w:tcPr>
            <w:tcW w:type="dxa" w:w="35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标记需复核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亮度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灰度均值45–220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过暗或过亮需复核</w:t>
            </w:r>
          </w:p>
        </w:tc>
      </w:tr>
      <w:tr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对比度</w:t>
            </w:r>
          </w:p>
        </w:tc>
        <w:tc>
          <w:tcPr>
            <w:tcW w:type="dxa" w:w="3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灰度标准差至少18</w:t>
            </w:r>
          </w:p>
        </w:tc>
        <w:tc>
          <w:tcPr>
            <w:tcW w:type="dxa" w:w="35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不足需复核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清晰度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边缘响应方差至少80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不足提示可能模糊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质量评分从100分开始：每个“需复核”问题扣15分，每个“拒绝”问题扣40分，最低为0分。照片质量分只反映拍摄条件，不代表锅炉健康评分。</w:t>
      </w:r>
    </w:p>
    <w:p>
      <w:pPr>
        <w:pStyle w:val="Heading2"/>
      </w:pPr>
      <w:r>
        <w:t>8.3 样本审核流程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巡检上传照片并人工录入六项读数。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系统保存图片、质量指标、锅炉、材料包、用户和算法版本。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样本进入后台待审核队列。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审核人员查看原图，核对人工读数，必要时修正六项确认值。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可靠样本标记为已通过，不可靠样本填写原因后剔除。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已通过样本进入未来算法训练候选集。</w:t>
      </w:r>
    </w:p>
    <w:p>
      <w:pPr>
        <w:spacing w:before="120" w:after="200" w:line="288" w:lineRule="auto"/>
        <w:ind w:left="144" w:right="144"/>
        <w:shd w:fill="EEF6F5"/>
        <w:pBdr>
          <w:left w:val="single" w:sz="18" w:space="8" w:color="0F6B67"/>
        </w:pBdr>
      </w:pPr>
      <w:r>
        <w:rPr>
          <w:rFonts w:ascii="Arial Unicode MS" w:hAnsi="Arial Unicode MS" w:eastAsia="Arial Unicode MS"/>
          <w:b/>
          <w:color w:val="174E4A"/>
        </w:rPr>
        <w:t xml:space="preserve">三组值必须分开  </w:t>
      </w:r>
      <w:r>
        <w:rPr>
          <w:rFonts w:ascii="Arial Unicode MS" w:hAnsi="Arial Unicode MS" w:eastAsia="Arial Unicode MS"/>
          <w:color w:val="1F2933"/>
        </w:rPr>
        <w:t>人工录入值、未来AI识别值、后台确认值不得相互覆盖，只有这样才能评估算法误差和追溯标签来源。</w:t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9  风险诊断、处置与复测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系统给出辅助判断，专业人员负责升级处置</w:t>
      </w:r>
    </w:p>
    <w:p>
      <w:pPr>
        <w:pStyle w:val="Heading2"/>
      </w:pPr>
      <w:r>
        <w:t>9.1 单项与组合判断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每项读数与当前压力段上下限比较，形成正常、预警或标准未知。组合风险优先于单项风险，同一指标命中组合规则后不重复生成相同任务。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3100"/>
        <w:gridCol w:w="2100"/>
        <w:gridCol w:w="4160"/>
      </w:tblGrid>
      <w:tr>
        <w:trPr>
          <w:tblHeader w:val="true"/>
        </w:trPr>
        <w:tc>
          <w:tcPr>
            <w:tcW w:type="dxa" w:w="3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组合条件</w:t>
            </w:r>
          </w:p>
        </w:tc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主要风险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现场可执行动作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硬度高 + 磷酸根低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结垢风险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检查软水器和加药泵，按方案补加防垢剂并排污。</w:t>
            </w:r>
          </w:p>
        </w:tc>
      </w:tr>
      <w:tr>
        <w:tc>
          <w:tcPr>
            <w:tcW w:type="dxa" w:w="31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pH低 + 亚硫酸根低</w:t>
            </w:r>
          </w:p>
        </w:tc>
        <w:tc>
          <w:tcPr>
            <w:tcW w:type="dxa" w:w="21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腐蚀风险</w:t>
            </w:r>
          </w:p>
        </w:tc>
        <w:tc>
          <w:tcPr>
            <w:tcW w:type="dxa" w:w="41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检查碱性药剂、除氧剂和加药泵，按方案补药。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氯离子高 + 总碱度高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浓缩/排污风险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加强连续排污或安排定期排污。</w:t>
            </w:r>
          </w:p>
        </w:tc>
      </w:tr>
      <w:tr>
        <w:tc>
          <w:tcPr>
            <w:tcW w:type="dxa" w:w="31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磷酸根高 + 亚硫酸根高</w:t>
            </w:r>
          </w:p>
        </w:tc>
        <w:tc>
          <w:tcPr>
            <w:tcW w:type="dxa" w:w="21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加药过量风险</w:t>
            </w:r>
          </w:p>
        </w:tc>
        <w:tc>
          <w:tcPr>
            <w:tcW w:type="dxa" w:w="41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暂缓或减少对应药剂，并适量排污。</w:t>
            </w:r>
          </w:p>
        </w:tc>
      </w:tr>
      <w:tr>
        <w:tc>
          <w:tcPr>
            <w:tcW w:type="dxa" w:w="3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pH高 + 总碱度高</w:t>
            </w:r>
          </w:p>
        </w:tc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汽水共腾风险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加强排污，减少碱性药剂，检查药箱浓度。</w:t>
            </w:r>
          </w:p>
        </w:tc>
      </w:tr>
    </w:tbl>
    <w:p>
      <w:pPr>
        <w:spacing w:after="20"/>
      </w:pPr>
    </w:p>
    <w:p>
      <w:pPr>
        <w:pStyle w:val="Heading2"/>
      </w:pPr>
      <w:r>
        <w:t>9.2 健康评分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当前评分从100分开始：每个超限指标扣6分，每个标准未知指标扣4分，每个高风险组合额外扣8分，最低60分。评分用于排序和趋势观察，不应单独作为停炉、继续运行或安全许可依据。</w:t>
      </w:r>
    </w:p>
    <w:p>
      <w:pPr>
        <w:pStyle w:val="Heading2"/>
      </w:pPr>
      <w:r>
        <w:t>9.3 处置边界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现场可执行：排污、按既定方案加药或减药、检查软水器、检查药箱和加药泵、更换试纸并重新取样。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后台服务支持人员结合照片、结果、历史趋势和现场记录，填写专业处理意见。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系统不自动给出超出已确认范围的高风险操作指令。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复测可以执行，也可以不执行；系统记录选择、原因和关联结果。</w:t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10  权限、数据与部署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让业务记录可追溯，让测试与正式环境相互隔离</w:t>
      </w:r>
    </w:p>
    <w:p>
      <w:pPr>
        <w:pStyle w:val="Heading2"/>
      </w:pPr>
      <w:r>
        <w:t>10.1 权限原则</w:t>
      </w:r>
    </w:p>
    <w:p>
      <w:pPr>
        <w:spacing w:after="120"/>
      </w:pPr>
      <w:r>
        <w:rPr>
          <w:rFonts w:ascii="Arial Unicode MS" w:hAnsi="Arial Unicode MS" w:eastAsia="Arial Unicode MS"/>
          <w:color w:val="1F2933"/>
        </w:rPr>
        <w:t>平台管理员可管理全平台；企业管理员只能管理本企业；巡检员只执行授权业务。企业是核心数据边界，材料包、锅炉、巡检和用户操作都应进行企业归属校验。</w:t>
      </w:r>
    </w:p>
    <w:p>
      <w:pPr>
        <w:pStyle w:val="Heading2"/>
      </w:pPr>
      <w:r>
        <w:t>10.2 数据追溯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客户、订单、收款、服务周期和材料包分配记录。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企业、锅炉、材料包、用户及绑定历史。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原始图片、质量指标、六项人工值、AI候选值和后台确认值。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当时生效的压力段、检测标准、结果、评分和风险诊断。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现场处置、后台专业意见、复测或不复测结果。</w:t>
      </w:r>
    </w:p>
    <w:p>
      <w:pPr>
        <w:pStyle w:val="Heading2"/>
      </w:pPr>
      <w:r>
        <w:t>10.3 环境与部署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环境</w:t>
            </w:r>
          </w:p>
        </w:tc>
        <w:tc>
          <w:tcPr>
            <w:tcW w:type="dxa" w:w="3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原则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本地测试环境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功能开发、页面联调、灰测数据验证。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使用独立API、MySQL、后台和H5容器，不影响云端。</w:t>
            </w:r>
          </w:p>
        </w:tc>
      </w:tr>
      <w:tr>
        <w:tc>
          <w:tcPr>
            <w:tcW w:type="dxa" w:w="19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云端环境</w:t>
            </w:r>
          </w:p>
        </w:tc>
        <w:tc>
          <w:tcPr>
            <w:tcW w:type="dxa" w:w="33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远程联调和阶段性业务验证。</w:t>
            </w:r>
          </w:p>
        </w:tc>
        <w:tc>
          <w:tcPr>
            <w:tcW w:type="dxa" w:w="41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更新前备份代码和数据库，部署后执行公网回归。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微信小程序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现场正式使用入口。</w:t>
            </w:r>
          </w:p>
        </w:tc>
        <w:tc>
          <w:tcPr>
            <w:tcW w:type="dxa" w:w="41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后端、后台和部署文件已排除出小程序上传范围。</w:t>
            </w:r>
          </w:p>
        </w:tc>
      </w:tr>
    </w:tbl>
    <w:p>
      <w:pPr>
        <w:spacing w:after="20"/>
      </w:pPr>
    </w:p>
    <w:p>
      <w:pPr>
        <w:spacing w:before="120" w:after="200" w:line="288" w:lineRule="auto"/>
        <w:ind w:left="144" w:right="144"/>
        <w:shd w:fill="FBF5E8"/>
        <w:pBdr>
          <w:left w:val="single" w:sz="18" w:space="8" w:color="C48A2C"/>
        </w:pBdr>
      </w:pPr>
      <w:r>
        <w:rPr>
          <w:rFonts w:ascii="Arial Unicode MS" w:hAnsi="Arial Unicode MS" w:eastAsia="Arial Unicode MS"/>
          <w:b/>
          <w:color w:val="174E4A"/>
        </w:rPr>
        <w:t xml:space="preserve">正式上线要求  </w:t>
      </w:r>
      <w:r>
        <w:rPr>
          <w:rFonts w:ascii="Arial Unicode MS" w:hAnsi="Arial Unicode MS" w:eastAsia="Arial Unicode MS"/>
          <w:color w:val="1F2933"/>
        </w:rPr>
        <w:t>还需完成HTTPS、微信合法域名、安全密钥、权限细分、日志监控、自动备份、灾备恢复、隐私合规和发布验收。</w:t>
      </w:r>
    </w:p>
    <w:p>
      <w:r>
        <w:br w:type="page"/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11  当前边界与产品路线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当前先跑通业务闭环，再逐步提升自动化程度</w:t>
      </w:r>
    </w:p>
    <w:p>
      <w:pPr>
        <w:pStyle w:val="Heading2"/>
      </w:pPr>
      <w:r>
        <w:t>11.1 当前已实现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客户试用/订阅、订单、收款、服务周期和材料包履约。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材料包入库、二维码、企业/锅炉/用户绑定与审计。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锅炉建档、额定压力分段和六项检测标准管理。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小程序与H5人工灰测流程、照片上传和质量门禁。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六项结果判断、组合风险、处置建议和可选复测。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后台巡检记录、识别样本审核、服务处置和月报。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平台管理员、企业管理员和巡检员基础权限。</w:t>
      </w:r>
    </w:p>
    <w:p>
      <w:pPr>
        <w:pStyle w:val="Heading2"/>
      </w:pPr>
      <w:r>
        <w:t>11.2 尚未完成或需要加强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4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建议下一步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试纸自动读数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未上线，当前人工录入。</w:t>
            </w:r>
          </w:p>
        </w:tc>
        <w:tc>
          <w:tcPr>
            <w:tcW w:type="dxa" w:w="47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建立品牌、型号、批次、量程和显色时间，再开发颜色定位与识别。</w:t>
            </w:r>
          </w:p>
        </w:tc>
      </w:tr>
      <w:tr>
        <w:tc>
          <w:tcPr>
            <w:tcW w:type="dxa" w:w="21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给水检测</w:t>
            </w:r>
          </w:p>
        </w:tc>
        <w:tc>
          <w:tcPr>
            <w:tcW w:type="dxa" w:w="2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未上线。</w:t>
            </w:r>
          </w:p>
        </w:tc>
        <w:tc>
          <w:tcPr>
            <w:tcW w:type="dxa" w:w="47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使用独立采样类型、指标和标准体系开发。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锅炉启停感知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未接入。</w:t>
            </w:r>
          </w:p>
        </w:tc>
        <w:tc>
          <w:tcPr>
            <w:tcW w:type="dxa" w:w="47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仅预留字段，不在当前结果中体现运行状态。</w:t>
            </w:r>
          </w:p>
        </w:tc>
      </w:tr>
      <w:tr>
        <w:tc>
          <w:tcPr>
            <w:tcW w:type="dxa" w:w="21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标准治理</w:t>
            </w:r>
          </w:p>
        </w:tc>
        <w:tc>
          <w:tcPr>
            <w:tcW w:type="dxa" w:w="2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后台可配置。</w:t>
            </w:r>
          </w:p>
        </w:tc>
        <w:tc>
          <w:tcPr>
            <w:tcW w:type="dxa" w:w="47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上线前由专业人员复核并增加版本锁定与生效审批。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安全与运维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满足灰测。</w:t>
            </w:r>
          </w:p>
        </w:tc>
        <w:tc>
          <w:tcPr>
            <w:tcW w:type="dxa" w:w="47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完善HTTPS、令牌有效期、密钥管理、监控告警和自动备份。</w:t>
            </w:r>
          </w:p>
        </w:tc>
      </w:tr>
      <w:tr>
        <w:tc>
          <w:tcPr>
            <w:tcW w:type="dxa" w:w="21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算法评估</w:t>
            </w:r>
          </w:p>
        </w:tc>
        <w:tc>
          <w:tcPr>
            <w:tcW w:type="dxa" w:w="25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已有样本审核基础。</w:t>
            </w:r>
          </w:p>
        </w:tc>
        <w:tc>
          <w:tcPr>
            <w:tcW w:type="dxa" w:w="47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建立验证集、准确率、相邻色阶命中率和高风险漏报指标。</w:t>
            </w:r>
          </w:p>
        </w:tc>
      </w:tr>
    </w:tbl>
    <w:p>
      <w:pPr>
        <w:spacing w:after="20"/>
      </w:pPr>
    </w:p>
    <w:p>
      <w:pPr>
        <w:pStyle w:val="Heading2"/>
      </w:pPr>
      <w:r>
        <w:t>11.3 建议路线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持续收集并审核真实照片，形成可信样本库。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建立试纸品牌、型号、批次、量程、显色时间和有效期管理。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增加拍照取景框、显色倒计时和色卡定位辅助。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开发颜色区域定位、白平衡校正和基础颜色标定算法。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上线“AI建议值 + 人工确认”，记录置信度和算法版本。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建立算法评估看板，达到验收指标后逐步减少人工确认。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补齐安全、运维、合规和发布流程，进入正式生产运行。</w:t>
      </w:r>
    </w:p>
    <w:p>
      <w:pPr>
        <w:keepNext/>
        <w:spacing w:before="320" w:after="80"/>
      </w:pPr>
      <w:r>
        <w:rPr>
          <w:rFonts w:ascii="Arial Unicode MS" w:hAnsi="Arial Unicode MS" w:eastAsia="Arial Unicode MS"/>
          <w:b/>
          <w:color w:val="174E4A"/>
          <w:sz w:val="36"/>
        </w:rPr>
        <w:t>附录  状态说明、术语与常见问题</w:t>
      </w:r>
    </w:p>
    <w:p>
      <w:pPr>
        <w:keepNext/>
        <w:spacing w:after="360"/>
      </w:pPr>
      <w:r>
        <w:rPr>
          <w:rFonts w:ascii="Arial Unicode MS" w:hAnsi="Arial Unicode MS" w:eastAsia="Arial Unicode MS"/>
          <w:color w:val="66727D"/>
          <w:sz w:val="21"/>
        </w:rPr>
        <w:t>帮助运营、销售、巡检和服务团队使用同一套语言</w:t>
      </w:r>
    </w:p>
    <w:p>
      <w:pPr>
        <w:pStyle w:val="Heading2"/>
      </w:pPr>
      <w:r>
        <w:t>A.1 常用状态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4D2"/>
          <w:left w:val="single" w:sz="6" w:space="0" w:color="C8D4D2"/>
          <w:bottom w:val="single" w:sz="6" w:space="0" w:color="C8D4D2"/>
          <w:right w:val="single" w:sz="6" w:space="0" w:color="C8D4D2"/>
          <w:insideH w:val="single" w:sz="6" w:space="0" w:color="C8D4D2"/>
          <w:insideV w:val="single" w:sz="6" w:space="0" w:color="C8D4D2"/>
        </w:tblBorders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0F6B6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材料包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未激活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已入库或已分配，但尚未与现场锅炉完成激活绑定。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材料包</w:t>
            </w:r>
          </w:p>
        </w:tc>
        <w:tc>
          <w:tcPr>
            <w:tcW w:type="dxa" w:w="22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已激活</w:t>
            </w:r>
          </w:p>
        </w:tc>
        <w:tc>
          <w:tcPr>
            <w:tcW w:type="dxa" w:w="5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企业和锅炉关系有效，可以支持巡检。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材料包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已过期/已作废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可保留历史，但不能继续发起有效巡检。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</w:t>
            </w:r>
          </w:p>
        </w:tc>
        <w:tc>
          <w:tcPr>
            <w:tcW w:type="dxa" w:w="22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已创建/已上传</w:t>
            </w:r>
          </w:p>
        </w:tc>
        <w:tc>
          <w:tcPr>
            <w:tcW w:type="dxa" w:w="5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巡检单已建立，照片上传处理中。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巡检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已完成/已提交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结果已生成；提交后成为正式业务记录。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样本</w:t>
            </w:r>
          </w:p>
        </w:tc>
        <w:tc>
          <w:tcPr>
            <w:tcW w:type="dxa" w:w="22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待审核</w:t>
            </w:r>
          </w:p>
        </w:tc>
        <w:tc>
          <w:tcPr>
            <w:tcW w:type="dxa" w:w="5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尚未由后台确认，不进入正式训练集。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样本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已通过/已剔除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确认可靠并纳入候选集，或保留审计但排除训练。</w:t>
            </w:r>
          </w:p>
        </w:tc>
      </w:tr>
      <w:tr>
        <w:tc>
          <w:tcPr>
            <w:tcW w:type="dxa" w:w="18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复测</w:t>
            </w:r>
          </w:p>
        </w:tc>
        <w:tc>
          <w:tcPr>
            <w:tcW w:type="dxa" w:w="220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待处理/已复测/不复测</w:t>
            </w:r>
          </w:p>
        </w:tc>
        <w:tc>
          <w:tcPr>
            <w:tcW w:type="dxa" w:w="5360"/>
            <w:shd w:fill="F3F5F6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19"/>
              </w:rPr>
              <w:t>等待现场决定，已关联复测结果，或记录不复测原因。</w:t>
            </w:r>
          </w:p>
        </w:tc>
      </w:tr>
    </w:tbl>
    <w:p>
      <w:pPr>
        <w:spacing w:after="20"/>
      </w:pPr>
    </w:p>
    <w:p>
      <w:pPr>
        <w:pStyle w:val="Heading2"/>
      </w:pPr>
      <w:r>
        <w:t>A.2 常见问题</w:t>
      </w:r>
    </w:p>
    <w:p>
      <w:pPr>
        <w:spacing w:after="40"/>
      </w:pPr>
      <w:r>
        <w:rPr>
          <w:rFonts w:ascii="Arial Unicode MS" w:hAnsi="Arial Unicode MS" w:eastAsia="Arial Unicode MS"/>
          <w:color w:val="1F2933"/>
        </w:rPr>
        <w:t>炉保保现在能直接识别照片读数吗？</w:t>
      </w:r>
    </w:p>
    <w:p>
      <w:pPr>
        <w:spacing w:after="180"/>
        <w:ind w:left="259"/>
      </w:pPr>
      <w:r>
        <w:rPr>
          <w:rFonts w:ascii="Arial Unicode MS" w:hAnsi="Arial Unicode MS" w:eastAsia="Arial Unicode MS"/>
          <w:color w:val="66727D"/>
        </w:rPr>
        <w:t>不能。当前照片用于留样和质量检查，六项读数由现场人工录入。</w:t>
      </w:r>
    </w:p>
    <w:p>
      <w:pPr>
        <w:spacing w:after="40"/>
      </w:pPr>
      <w:r>
        <w:rPr>
          <w:rFonts w:ascii="Arial Unicode MS" w:hAnsi="Arial Unicode MS" w:eastAsia="Arial Unicode MS"/>
          <w:color w:val="1F2933"/>
        </w:rPr>
        <w:t>材料包过期后还能登录吗？</w:t>
      </w:r>
    </w:p>
    <w:p>
      <w:pPr>
        <w:spacing w:after="180"/>
        <w:ind w:left="259"/>
      </w:pPr>
      <w:r>
        <w:rPr>
          <w:rFonts w:ascii="Arial Unicode MS" w:hAnsi="Arial Unicode MS" w:eastAsia="Arial Unicode MS"/>
          <w:color w:val="66727D"/>
        </w:rPr>
        <w:t>可以进入首页并查看历史，但不能发起新的有效巡检，需要更换材料包。</w:t>
      </w:r>
    </w:p>
    <w:p>
      <w:pPr>
        <w:spacing w:after="40"/>
      </w:pPr>
      <w:r>
        <w:rPr>
          <w:rFonts w:ascii="Arial Unicode MS" w:hAnsi="Arial Unicode MS" w:eastAsia="Arial Unicode MS"/>
          <w:color w:val="1F2933"/>
        </w:rPr>
        <w:t>异常后一定要复测吗？</w:t>
      </w:r>
    </w:p>
    <w:p>
      <w:pPr>
        <w:spacing w:after="180"/>
        <w:ind w:left="259"/>
      </w:pPr>
      <w:r>
        <w:rPr>
          <w:rFonts w:ascii="Arial Unicode MS" w:hAnsi="Arial Unicode MS" w:eastAsia="Arial Unicode MS"/>
          <w:color w:val="66727D"/>
        </w:rPr>
        <w:t>不强制。现场和后台可根据情况选择复测或不复测，并记录原因。</w:t>
      </w:r>
    </w:p>
    <w:p>
      <w:pPr>
        <w:spacing w:after="40"/>
      </w:pPr>
      <w:r>
        <w:rPr>
          <w:rFonts w:ascii="Arial Unicode MS" w:hAnsi="Arial Unicode MS" w:eastAsia="Arial Unicode MS"/>
          <w:color w:val="1F2933"/>
        </w:rPr>
        <w:t>处理意见由系统自动决定吗？</w:t>
      </w:r>
    </w:p>
    <w:p>
      <w:pPr>
        <w:spacing w:after="180"/>
        <w:ind w:left="259"/>
      </w:pPr>
      <w:r>
        <w:rPr>
          <w:rFonts w:ascii="Arial Unicode MS" w:hAnsi="Arial Unicode MS" w:eastAsia="Arial Unicode MS"/>
          <w:color w:val="66727D"/>
        </w:rPr>
        <w:t>系统提供已确认范围内的辅助建议；更复杂的升级处置由后台服务支持人员给出。</w:t>
      </w:r>
    </w:p>
    <w:p>
      <w:pPr>
        <w:spacing w:after="40"/>
      </w:pPr>
      <w:r>
        <w:rPr>
          <w:rFonts w:ascii="Arial Unicode MS" w:hAnsi="Arial Unicode MS" w:eastAsia="Arial Unicode MS"/>
          <w:color w:val="1F2933"/>
        </w:rPr>
        <w:t>检测结果能代替实验室或法定检验吗？</w:t>
      </w:r>
    </w:p>
    <w:p>
      <w:pPr>
        <w:spacing w:after="180"/>
        <w:ind w:left="259"/>
      </w:pPr>
      <w:r>
        <w:rPr>
          <w:rFonts w:ascii="Arial Unicode MS" w:hAnsi="Arial Unicode MS" w:eastAsia="Arial Unicode MS"/>
          <w:color w:val="66727D"/>
        </w:rPr>
        <w:t>不能。产品用于日常巡检、趋势预警和维护辅助。</w:t>
      </w:r>
    </w:p>
    <w:p>
      <w:pPr>
        <w:spacing w:before="120" w:after="200" w:line="288" w:lineRule="auto"/>
        <w:ind w:left="144" w:right="144"/>
        <w:shd w:fill="EEF6F5"/>
        <w:pBdr>
          <w:left w:val="single" w:sz="18" w:space="8" w:color="0F6B67"/>
        </w:pBdr>
      </w:pPr>
      <w:r>
        <w:rPr>
          <w:rFonts w:ascii="Arial Unicode MS" w:hAnsi="Arial Unicode MS" w:eastAsia="Arial Unicode MS"/>
          <w:b/>
          <w:color w:val="174E4A"/>
        </w:rPr>
        <w:t xml:space="preserve">文档维护  </w:t>
      </w:r>
      <w:r>
        <w:rPr>
          <w:rFonts w:ascii="Arial Unicode MS" w:hAnsi="Arial Unicode MS" w:eastAsia="Arial Unicode MS"/>
          <w:color w:val="1F2933"/>
        </w:rPr>
        <w:t>产品功能、检测标准或业务规则发生变化时，应同步更新本手册，并记录版本号、生效日期和复核人员。</w:t>
      </w:r>
    </w:p>
    <w:p>
      <w:pPr>
        <w:pStyle w:val="Heading2"/>
      </w:pPr>
      <w:r>
        <w:t>A.3 产品使用原则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优先保证现场采样、试纸操作和人工读数真实可靠，再追求流程速度。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系统建议用于辅助维护，异常升级处置应由专业服务人员结合现场情况确认。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任何标准、算法或标签调整都应保留版本和审计记录，不静默覆盖历史。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Arial Unicode MS" w:hAnsi="Arial Unicode MS" w:eastAsia="Arial Unicode MS"/>
          <w:color w:val="1F2933"/>
        </w:rPr>
        <w:t>自动识别必须经过真实样本验证，达到约定指标后再逐步替代人工确认。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6727D"/>
        <w:sz w:val="17"/>
      </w:rPr>
      <w:t xml:space="preserve">炉保保智能  ·  2026年7月  |  </w:t>
    </w:r>
    <w:r>
      <w:rPr>
        <w:rFonts w:ascii="Arial Unicode MS" w:hAnsi="Arial Unicode MS" w:eastAsia="Arial Unicode MS"/>
        <w:color w:val="66727D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27D"/>
        <w:sz w:val="17"/>
      </w:rPr>
      <w:t xml:space="preserve"> / </w:t>
    </w:r>
    <w:r>
      <w:rPr>
        <w:rFonts w:ascii="Arial Unicode MS" w:hAnsi="Arial Unicode MS" w:eastAsia="Arial Unicode MS"/>
        <w:color w:val="66727D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174E4A"/>
        <w:sz w:val="18"/>
      </w:rPr>
      <w:t>炉保保智能  |  产品手册</w:t>
    </w:r>
    <w:r>
      <w:rPr>
        <w:rFonts w:ascii="Arial Unicode MS" w:hAnsi="Arial Unicode MS" w:eastAsia="Arial Unicode MS"/>
        <w:color w:val="66727D"/>
        <w:sz w:val="17"/>
      </w:rPr>
      <w:t xml:space="preserve">                                   内部培训与产品介绍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31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E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6B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E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炉保保智能产品手册</dc:title>
  <dc:subject>工业蒸汽锅炉炉水检测与服务平台</dc:subject>
  <dc:creator>炉保保智能</dc:creator>
  <cp:keywords>炉保保, 锅炉, 炉水检测, 材料包, 巡检, 产品手册</cp:keywords>
  <dc:description>V1.0，基于2026年7月灰测版本整理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