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Rabu, 05 June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KUNINGAN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06 - 08 June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June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8CG9141Y89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8CG9136L5F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Rabu, 05 June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KUNINGAN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06 - 08 June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June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8CG9141Y78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8154901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