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5F91" w14:textId="271B2EF4" w:rsidR="00583AFD" w:rsidRDefault="00583AFD">
      <w:pPr>
        <w:jc w:val="center"/>
        <w:rPr>
          <w:b/>
          <w:sz w:val="28"/>
        </w:rPr>
      </w:pPr>
      <w:bookmarkStart w:id="0" w:name="_GoBack"/>
      <w:bookmarkEnd w:id="0"/>
      <w:r>
        <w:rPr>
          <w:b/>
          <w:sz w:val="28"/>
        </w:rPr>
        <w:t>Homework #</w:t>
      </w:r>
      <w:r w:rsidR="00C16BDB">
        <w:rPr>
          <w:b/>
          <w:sz w:val="28"/>
        </w:rPr>
        <w:t>3</w:t>
      </w:r>
    </w:p>
    <w:p w14:paraId="4BE9FC17" w14:textId="67C2EFDF" w:rsidR="00B624E7" w:rsidRDefault="002C5A3D" w:rsidP="00B624E7">
      <w:pPr>
        <w:jc w:val="center"/>
        <w:rPr>
          <w:b/>
          <w:sz w:val="28"/>
        </w:rPr>
      </w:pPr>
      <w:r>
        <w:rPr>
          <w:b/>
          <w:sz w:val="28"/>
        </w:rPr>
        <w:t>MEM 4</w:t>
      </w:r>
      <w:r w:rsidR="00C63DF3">
        <w:rPr>
          <w:b/>
          <w:sz w:val="28"/>
        </w:rPr>
        <w:t>10</w:t>
      </w:r>
      <w:r w:rsidR="000722AA">
        <w:rPr>
          <w:b/>
          <w:sz w:val="28"/>
        </w:rPr>
        <w:t xml:space="preserve">, </w:t>
      </w:r>
      <w:r w:rsidR="00B5728A">
        <w:rPr>
          <w:b/>
          <w:sz w:val="28"/>
        </w:rPr>
        <w:t>Managerial Analytics</w:t>
      </w:r>
      <w:r w:rsidR="00C63DF3">
        <w:rPr>
          <w:b/>
          <w:sz w:val="28"/>
        </w:rPr>
        <w:t>, Winter 201</w:t>
      </w:r>
      <w:r w:rsidR="00C16BDB">
        <w:rPr>
          <w:b/>
          <w:sz w:val="28"/>
        </w:rPr>
        <w:t>8</w:t>
      </w:r>
    </w:p>
    <w:p w14:paraId="6A78E3F5" w14:textId="2E32B501" w:rsidR="00583AFD" w:rsidRDefault="00D022E2">
      <w:pPr>
        <w:jc w:val="center"/>
        <w:rPr>
          <w:b/>
          <w:sz w:val="28"/>
        </w:rPr>
      </w:pPr>
      <w:r>
        <w:rPr>
          <w:b/>
          <w:sz w:val="28"/>
        </w:rPr>
        <w:t xml:space="preserve">Due: Start of Class </w:t>
      </w:r>
      <w:r w:rsidR="005C7E4B">
        <w:rPr>
          <w:b/>
          <w:sz w:val="28"/>
        </w:rPr>
        <w:t>2</w:t>
      </w:r>
      <w:r w:rsidR="00C63DF3">
        <w:rPr>
          <w:b/>
          <w:sz w:val="28"/>
        </w:rPr>
        <w:t>/</w:t>
      </w:r>
      <w:r w:rsidR="00816196">
        <w:rPr>
          <w:b/>
          <w:sz w:val="28"/>
        </w:rPr>
        <w:t>15</w:t>
      </w:r>
      <w:r w:rsidR="00C63DF3">
        <w:rPr>
          <w:b/>
          <w:sz w:val="28"/>
        </w:rPr>
        <w:t>/1</w:t>
      </w:r>
      <w:r w:rsidR="00C16BDB">
        <w:rPr>
          <w:b/>
          <w:sz w:val="28"/>
        </w:rPr>
        <w:t>8</w:t>
      </w:r>
    </w:p>
    <w:p w14:paraId="3ACE1388" w14:textId="77777777" w:rsidR="001F5243" w:rsidRDefault="001F5243">
      <w:pPr>
        <w:jc w:val="center"/>
        <w:rPr>
          <w:b/>
          <w:sz w:val="28"/>
        </w:rPr>
      </w:pPr>
      <w:r>
        <w:rPr>
          <w:b/>
          <w:sz w:val="28"/>
        </w:rPr>
        <w:t>Electronic Submission Only</w:t>
      </w:r>
    </w:p>
    <w:p w14:paraId="0ED026F8" w14:textId="77777777" w:rsidR="00D25F5E" w:rsidRDefault="00D25F5E">
      <w:r>
        <w:tab/>
      </w:r>
      <w:r>
        <w:tab/>
      </w:r>
      <w:r>
        <w:tab/>
      </w:r>
      <w:r>
        <w:tab/>
      </w:r>
    </w:p>
    <w:p w14:paraId="6273B469" w14:textId="77777777" w:rsidR="00726F44" w:rsidRDefault="00726F44" w:rsidP="00B5728A"/>
    <w:p w14:paraId="0BDD0274" w14:textId="18E51371" w:rsidR="00CD4B4B" w:rsidRPr="00CD4B4B" w:rsidRDefault="005D32B3" w:rsidP="00615CFC">
      <w:pPr>
        <w:numPr>
          <w:ilvl w:val="0"/>
          <w:numId w:val="2"/>
        </w:numPr>
        <w:spacing w:line="252" w:lineRule="auto"/>
        <w:rPr>
          <w:szCs w:val="24"/>
        </w:rPr>
      </w:pPr>
      <w:r>
        <w:t>[1</w:t>
      </w:r>
      <w:r w:rsidR="00F776C4">
        <w:t>5</w:t>
      </w:r>
      <w:r w:rsidR="00326357">
        <w:t xml:space="preserve"> points] </w:t>
      </w:r>
      <w:r w:rsidR="00CD4B4B" w:rsidRPr="00CD4B4B">
        <w:rPr>
          <w:szCs w:val="24"/>
        </w:rPr>
        <w:t xml:space="preserve">Assume that you are working for a credit card company. Recently something surprising has come across to your attention. </w:t>
      </w:r>
    </w:p>
    <w:p w14:paraId="38B3DB9B" w14:textId="77777777" w:rsidR="00CD4B4B" w:rsidRDefault="00CD4B4B" w:rsidP="00615CFC">
      <w:pPr>
        <w:pStyle w:val="ListParagraph"/>
        <w:numPr>
          <w:ilvl w:val="0"/>
          <w:numId w:val="21"/>
        </w:numPr>
        <w:spacing w:after="0" w:line="252" w:lineRule="auto"/>
        <w:rPr>
          <w:rFonts w:ascii="Times New Roman" w:hAnsi="Times New Roman" w:cs="Times New Roman"/>
          <w:sz w:val="24"/>
          <w:szCs w:val="24"/>
        </w:rPr>
      </w:pPr>
      <w:r w:rsidRPr="00CD4B4B">
        <w:rPr>
          <w:rFonts w:ascii="Times New Roman" w:hAnsi="Times New Roman" w:cs="Times New Roman"/>
          <w:sz w:val="24"/>
          <w:szCs w:val="24"/>
        </w:rPr>
        <w:t>Like most of the credit card companies or banks, your company has been trying to encourage customers to sign up for e-statements. Once customers agree to e-statement, your company can save the cost of mailing paper statement to customers. In the past, this has been viewed as a practice without introducing any credit risk. In fact, some people tend to believe that credit-savvy customers are more likely to sign up for e-statements.</w:t>
      </w:r>
    </w:p>
    <w:p w14:paraId="66FC9D60" w14:textId="77777777" w:rsidR="00CD4B4B" w:rsidRPr="00CD4B4B" w:rsidRDefault="00CD4B4B" w:rsidP="00615CFC">
      <w:pPr>
        <w:pStyle w:val="ListParagraph"/>
        <w:numPr>
          <w:ilvl w:val="0"/>
          <w:numId w:val="21"/>
        </w:numPr>
        <w:spacing w:after="0" w:line="252" w:lineRule="auto"/>
        <w:rPr>
          <w:rFonts w:ascii="Times New Roman" w:hAnsi="Times New Roman" w:cs="Times New Roman"/>
          <w:sz w:val="24"/>
          <w:szCs w:val="24"/>
        </w:rPr>
      </w:pPr>
      <w:r>
        <w:rPr>
          <w:rFonts w:ascii="Times New Roman" w:hAnsi="Times New Roman" w:cs="Times New Roman"/>
          <w:sz w:val="24"/>
          <w:szCs w:val="24"/>
        </w:rPr>
        <w:t>Recently, however, someone did some analysis that led to surprising result. Based on this analysis, the e-statement customers have higher likelihood to charge off (default) on the credit card. As shown in the chart below, by examining the number of charge offs in 2015 over the number of open accounts at the beginning of 2015, those using e-statements have 33% of default rate versus 19% among those who are not on e-statement.</w:t>
      </w:r>
    </w:p>
    <w:p w14:paraId="042E6470" w14:textId="77777777" w:rsidR="000722AA" w:rsidRDefault="00CD4B4B" w:rsidP="00615CFC">
      <w:pPr>
        <w:pStyle w:val="ListParagraph"/>
        <w:numPr>
          <w:ilvl w:val="0"/>
          <w:numId w:val="21"/>
        </w:numPr>
        <w:spacing w:after="0" w:line="252" w:lineRule="auto"/>
        <w:rPr>
          <w:rFonts w:ascii="Times New Roman" w:hAnsi="Times New Roman" w:cs="Times New Roman"/>
          <w:sz w:val="24"/>
          <w:szCs w:val="24"/>
        </w:rPr>
      </w:pPr>
      <w:r>
        <w:rPr>
          <w:rFonts w:ascii="Times New Roman" w:hAnsi="Times New Roman" w:cs="Times New Roman"/>
          <w:sz w:val="24"/>
          <w:szCs w:val="24"/>
        </w:rPr>
        <w:t>Once you can d</w:t>
      </w:r>
      <w:r w:rsidRPr="00CD4B4B">
        <w:rPr>
          <w:rFonts w:ascii="Times New Roman" w:hAnsi="Times New Roman" w:cs="Times New Roman"/>
          <w:sz w:val="24"/>
          <w:szCs w:val="24"/>
        </w:rPr>
        <w:t>ownload the Credit Pe</w:t>
      </w:r>
      <w:r>
        <w:rPr>
          <w:rFonts w:ascii="Times New Roman" w:hAnsi="Times New Roman" w:cs="Times New Roman"/>
          <w:sz w:val="24"/>
          <w:szCs w:val="24"/>
        </w:rPr>
        <w:t xml:space="preserve">rformance Data file from Canvas, you will have both the data and the analysis performed. </w:t>
      </w:r>
      <w:r w:rsidR="00615CFC">
        <w:rPr>
          <w:rFonts w:ascii="Times New Roman" w:hAnsi="Times New Roman" w:cs="Times New Roman"/>
          <w:sz w:val="24"/>
          <w:szCs w:val="24"/>
        </w:rPr>
        <w:t>Just a little more on the data:</w:t>
      </w:r>
    </w:p>
    <w:p w14:paraId="02CFDA22" w14:textId="77777777" w:rsidR="00615CFC" w:rsidRDefault="00615CFC" w:rsidP="00615CFC">
      <w:pPr>
        <w:pStyle w:val="ListParagraph"/>
        <w:numPr>
          <w:ilvl w:val="1"/>
          <w:numId w:val="21"/>
        </w:numPr>
        <w:spacing w:after="0" w:line="252" w:lineRule="auto"/>
        <w:rPr>
          <w:rFonts w:ascii="Times New Roman" w:hAnsi="Times New Roman" w:cs="Times New Roman"/>
          <w:sz w:val="24"/>
          <w:szCs w:val="24"/>
        </w:rPr>
      </w:pPr>
      <w:r>
        <w:rPr>
          <w:rFonts w:ascii="Times New Roman" w:hAnsi="Times New Roman" w:cs="Times New Roman"/>
          <w:sz w:val="24"/>
          <w:szCs w:val="24"/>
        </w:rPr>
        <w:t>This data captures the account status by month since the account opening</w:t>
      </w:r>
    </w:p>
    <w:p w14:paraId="7AEFFBBA" w14:textId="77777777" w:rsidR="00615CFC" w:rsidRDefault="00615CFC" w:rsidP="00615CFC">
      <w:pPr>
        <w:pStyle w:val="ListParagraph"/>
        <w:numPr>
          <w:ilvl w:val="1"/>
          <w:numId w:val="21"/>
        </w:numPr>
        <w:spacing w:after="0" w:line="252" w:lineRule="auto"/>
        <w:rPr>
          <w:rFonts w:ascii="Times New Roman" w:hAnsi="Times New Roman" w:cs="Times New Roman"/>
          <w:sz w:val="24"/>
          <w:szCs w:val="24"/>
        </w:rPr>
      </w:pPr>
      <w:r>
        <w:rPr>
          <w:rFonts w:ascii="Times New Roman" w:hAnsi="Times New Roman" w:cs="Times New Roman"/>
          <w:sz w:val="24"/>
          <w:szCs w:val="24"/>
        </w:rPr>
        <w:t>Most of the accounts would start as paper statement and then some move to e-statements, where there would be “Yes” in the e-statement column</w:t>
      </w:r>
    </w:p>
    <w:p w14:paraId="6399034F" w14:textId="77777777" w:rsidR="00615CFC" w:rsidRDefault="00615CFC" w:rsidP="00615CFC">
      <w:pPr>
        <w:pStyle w:val="ListParagraph"/>
        <w:numPr>
          <w:ilvl w:val="1"/>
          <w:numId w:val="21"/>
        </w:numPr>
        <w:spacing w:after="0" w:line="252" w:lineRule="auto"/>
        <w:rPr>
          <w:rFonts w:ascii="Times New Roman" w:hAnsi="Times New Roman" w:cs="Times New Roman"/>
          <w:sz w:val="24"/>
          <w:szCs w:val="24"/>
        </w:rPr>
      </w:pPr>
      <w:r>
        <w:rPr>
          <w:rFonts w:ascii="Times New Roman" w:hAnsi="Times New Roman" w:cs="Times New Roman"/>
          <w:sz w:val="24"/>
          <w:szCs w:val="24"/>
        </w:rPr>
        <w:t xml:space="preserve">Customer account would be open, closed, or charge-off in most of the cases. When customers start missing payment, there could be 30, 60, or 90-day delinquency status on the account. </w:t>
      </w:r>
    </w:p>
    <w:p w14:paraId="0020DE78" w14:textId="77777777" w:rsidR="00615CFC" w:rsidRDefault="00615CFC" w:rsidP="00615CFC">
      <w:pPr>
        <w:pStyle w:val="ListParagraph"/>
        <w:numPr>
          <w:ilvl w:val="1"/>
          <w:numId w:val="21"/>
        </w:numPr>
        <w:spacing w:after="0" w:line="252" w:lineRule="auto"/>
        <w:rPr>
          <w:rFonts w:ascii="Times New Roman" w:hAnsi="Times New Roman" w:cs="Times New Roman"/>
          <w:sz w:val="24"/>
          <w:szCs w:val="24"/>
        </w:rPr>
      </w:pPr>
      <w:r>
        <w:rPr>
          <w:rFonts w:ascii="Times New Roman" w:hAnsi="Times New Roman" w:cs="Times New Roman"/>
          <w:sz w:val="24"/>
          <w:szCs w:val="24"/>
        </w:rPr>
        <w:t>The “credit limit” column shows the limit on the credit card</w:t>
      </w:r>
    </w:p>
    <w:p w14:paraId="0803633C" w14:textId="77777777" w:rsidR="00615CFC" w:rsidRDefault="00615CFC" w:rsidP="00615CFC">
      <w:pPr>
        <w:pStyle w:val="ListParagraph"/>
        <w:numPr>
          <w:ilvl w:val="1"/>
          <w:numId w:val="21"/>
        </w:numPr>
        <w:spacing w:after="0" w:line="252" w:lineRule="auto"/>
        <w:rPr>
          <w:rFonts w:ascii="Times New Roman" w:hAnsi="Times New Roman" w:cs="Times New Roman"/>
          <w:sz w:val="24"/>
          <w:szCs w:val="24"/>
        </w:rPr>
      </w:pPr>
      <w:r>
        <w:rPr>
          <w:rFonts w:ascii="Times New Roman" w:hAnsi="Times New Roman" w:cs="Times New Roman"/>
          <w:sz w:val="24"/>
          <w:szCs w:val="24"/>
        </w:rPr>
        <w:t>The “balance” column indicates the amount of balance on the card. When people close an account, they should have zero balance. When people default on their cards, most of them have balance to their limits.</w:t>
      </w:r>
    </w:p>
    <w:p w14:paraId="0502ACC6" w14:textId="77777777" w:rsidR="00CD4B4B" w:rsidRDefault="00CD4B4B" w:rsidP="00615CFC">
      <w:pPr>
        <w:spacing w:line="252" w:lineRule="auto"/>
        <w:ind w:left="360"/>
        <w:rPr>
          <w:szCs w:val="24"/>
        </w:rPr>
      </w:pPr>
    </w:p>
    <w:p w14:paraId="52AADDB8" w14:textId="77777777" w:rsidR="00CD4B4B" w:rsidRPr="00CD4B4B" w:rsidRDefault="00CD4B4B" w:rsidP="00615CFC">
      <w:pPr>
        <w:spacing w:line="252" w:lineRule="auto"/>
        <w:ind w:left="360"/>
        <w:rPr>
          <w:szCs w:val="24"/>
        </w:rPr>
      </w:pPr>
      <w:r>
        <w:rPr>
          <w:szCs w:val="24"/>
        </w:rPr>
        <w:t>Please leverage this data and descriptive analytics to address the following questions</w:t>
      </w:r>
    </w:p>
    <w:p w14:paraId="0008B677" w14:textId="6005B4A7" w:rsidR="00DA1574" w:rsidRPr="002D60E8" w:rsidRDefault="00615CFC" w:rsidP="007C0DED">
      <w:pPr>
        <w:numPr>
          <w:ilvl w:val="1"/>
          <w:numId w:val="22"/>
        </w:numPr>
        <w:spacing w:line="252" w:lineRule="auto"/>
        <w:rPr>
          <w:sz w:val="20"/>
        </w:rPr>
      </w:pPr>
      <w:r>
        <w:t>Do you have any concerns on the suggested conclusion based on this analysis?</w:t>
      </w:r>
    </w:p>
    <w:p w14:paraId="73D801F5" w14:textId="77777777" w:rsidR="00A25F25" w:rsidRDefault="00A25F25" w:rsidP="000159B8">
      <w:pPr>
        <w:spacing w:line="252" w:lineRule="auto"/>
        <w:ind w:left="720"/>
        <w:rPr>
          <w:color w:val="4F81BD" w:themeColor="accent1"/>
          <w:szCs w:val="24"/>
        </w:rPr>
      </w:pPr>
    </w:p>
    <w:p w14:paraId="55F045A1" w14:textId="0BD62FE0" w:rsidR="0039202F" w:rsidRPr="00A25F25" w:rsidRDefault="000159B8" w:rsidP="000159B8">
      <w:pPr>
        <w:spacing w:line="252" w:lineRule="auto"/>
        <w:ind w:left="720"/>
        <w:rPr>
          <w:color w:val="4F81BD" w:themeColor="accent1"/>
          <w:szCs w:val="24"/>
        </w:rPr>
      </w:pPr>
      <w:r w:rsidRPr="00A25F25">
        <w:rPr>
          <w:color w:val="4F81BD" w:themeColor="accent1"/>
          <w:szCs w:val="24"/>
        </w:rPr>
        <w:t xml:space="preserve">Following are the concerns related to </w:t>
      </w:r>
      <w:r w:rsidR="00A25F25">
        <w:rPr>
          <w:color w:val="4F81BD" w:themeColor="accent1"/>
          <w:szCs w:val="24"/>
        </w:rPr>
        <w:t xml:space="preserve">the given </w:t>
      </w:r>
      <w:r w:rsidRPr="00A25F25">
        <w:rPr>
          <w:color w:val="4F81BD" w:themeColor="accent1"/>
          <w:szCs w:val="24"/>
        </w:rPr>
        <w:t>analysis</w:t>
      </w:r>
      <w:r w:rsidR="00A25F25">
        <w:rPr>
          <w:color w:val="4F81BD" w:themeColor="accent1"/>
          <w:szCs w:val="24"/>
        </w:rPr>
        <w:t>:</w:t>
      </w:r>
    </w:p>
    <w:p w14:paraId="54747721" w14:textId="77DB7DD9" w:rsidR="00962AD9" w:rsidRPr="00A25F25" w:rsidRDefault="00962AD9" w:rsidP="00962AD9">
      <w:pPr>
        <w:pStyle w:val="ListParagraph"/>
        <w:numPr>
          <w:ilvl w:val="0"/>
          <w:numId w:val="24"/>
        </w:numPr>
        <w:spacing w:line="252" w:lineRule="auto"/>
        <w:rPr>
          <w:rFonts w:ascii="Times New Roman" w:hAnsi="Times New Roman" w:cs="Times New Roman"/>
          <w:color w:val="4F81BD" w:themeColor="accent1"/>
          <w:sz w:val="24"/>
          <w:szCs w:val="24"/>
        </w:rPr>
      </w:pPr>
      <w:r w:rsidRPr="00A25F25">
        <w:rPr>
          <w:rFonts w:ascii="Times New Roman" w:hAnsi="Times New Roman" w:cs="Times New Roman"/>
          <w:color w:val="4F81BD" w:themeColor="accent1"/>
          <w:sz w:val="24"/>
          <w:szCs w:val="24"/>
        </w:rPr>
        <w:t xml:space="preserve">Probability of defaulters is calculated from the open cases for the month of Jan. It seems incorrect to compare charge off cases for the whole year against the </w:t>
      </w:r>
      <w:r w:rsidR="00D83270" w:rsidRPr="00A25F25">
        <w:rPr>
          <w:rFonts w:ascii="Times New Roman" w:hAnsi="Times New Roman" w:cs="Times New Roman"/>
          <w:color w:val="4F81BD" w:themeColor="accent1"/>
          <w:sz w:val="24"/>
          <w:szCs w:val="24"/>
        </w:rPr>
        <w:t>o</w:t>
      </w:r>
      <w:r w:rsidRPr="00A25F25">
        <w:rPr>
          <w:rFonts w:ascii="Times New Roman" w:hAnsi="Times New Roman" w:cs="Times New Roman"/>
          <w:color w:val="4F81BD" w:themeColor="accent1"/>
          <w:sz w:val="24"/>
          <w:szCs w:val="24"/>
        </w:rPr>
        <w:t xml:space="preserve">pen cases for </w:t>
      </w:r>
      <w:r w:rsidR="00D83270" w:rsidRPr="00A25F25">
        <w:rPr>
          <w:rFonts w:ascii="Times New Roman" w:hAnsi="Times New Roman" w:cs="Times New Roman"/>
          <w:color w:val="4F81BD" w:themeColor="accent1"/>
          <w:sz w:val="24"/>
          <w:szCs w:val="24"/>
        </w:rPr>
        <w:t>the month of Jan</w:t>
      </w:r>
      <w:r w:rsidRPr="00A25F25">
        <w:rPr>
          <w:rFonts w:ascii="Times New Roman" w:hAnsi="Times New Roman" w:cs="Times New Roman"/>
          <w:color w:val="4F81BD" w:themeColor="accent1"/>
          <w:sz w:val="24"/>
          <w:szCs w:val="24"/>
        </w:rPr>
        <w:t>. It could very well be that the cases were open from long before.</w:t>
      </w:r>
      <w:r w:rsidR="00A25F25" w:rsidRPr="00A25F25">
        <w:rPr>
          <w:rFonts w:ascii="Times New Roman" w:hAnsi="Times New Roman" w:cs="Times New Roman"/>
          <w:color w:val="4F81BD" w:themeColor="accent1"/>
          <w:sz w:val="24"/>
          <w:szCs w:val="24"/>
        </w:rPr>
        <w:t xml:space="preserve"> Perhaps more data is needed to draw meaningful conclusions.</w:t>
      </w:r>
    </w:p>
    <w:p w14:paraId="6226E3D9" w14:textId="4D65EA41" w:rsidR="00962AD9" w:rsidRPr="00A25F25" w:rsidRDefault="00D83270" w:rsidP="00962AD9">
      <w:pPr>
        <w:pStyle w:val="ListParagraph"/>
        <w:numPr>
          <w:ilvl w:val="0"/>
          <w:numId w:val="24"/>
        </w:numPr>
        <w:spacing w:line="252" w:lineRule="auto"/>
        <w:rPr>
          <w:rFonts w:ascii="Times New Roman" w:hAnsi="Times New Roman" w:cs="Times New Roman"/>
          <w:color w:val="4F81BD" w:themeColor="accent1"/>
          <w:sz w:val="24"/>
          <w:szCs w:val="24"/>
        </w:rPr>
      </w:pPr>
      <w:r w:rsidRPr="00A25F25">
        <w:rPr>
          <w:rFonts w:ascii="Times New Roman" w:hAnsi="Times New Roman" w:cs="Times New Roman"/>
          <w:color w:val="4F81BD" w:themeColor="accent1"/>
          <w:sz w:val="24"/>
          <w:szCs w:val="24"/>
        </w:rPr>
        <w:t xml:space="preserve">There are cases where </w:t>
      </w:r>
      <w:r w:rsidR="00A25F25">
        <w:rPr>
          <w:rFonts w:ascii="Times New Roman" w:hAnsi="Times New Roman" w:cs="Times New Roman"/>
          <w:color w:val="4F81BD" w:themeColor="accent1"/>
          <w:sz w:val="24"/>
          <w:szCs w:val="24"/>
        </w:rPr>
        <w:t>an a</w:t>
      </w:r>
      <w:r w:rsidRPr="00A25F25">
        <w:rPr>
          <w:rFonts w:ascii="Times New Roman" w:hAnsi="Times New Roman" w:cs="Times New Roman"/>
          <w:color w:val="4F81BD" w:themeColor="accent1"/>
          <w:sz w:val="24"/>
          <w:szCs w:val="24"/>
        </w:rPr>
        <w:t xml:space="preserve">ccount is closed but the </w:t>
      </w:r>
      <w:r w:rsidR="0006389C" w:rsidRPr="00A25F25">
        <w:rPr>
          <w:rFonts w:ascii="Times New Roman" w:hAnsi="Times New Roman" w:cs="Times New Roman"/>
          <w:color w:val="4F81BD" w:themeColor="accent1"/>
          <w:sz w:val="24"/>
          <w:szCs w:val="24"/>
        </w:rPr>
        <w:t>balance is present. Ideally, close account should not have balance.</w:t>
      </w:r>
      <w:r w:rsidR="00A25F25">
        <w:rPr>
          <w:rFonts w:ascii="Times New Roman" w:hAnsi="Times New Roman" w:cs="Times New Roman"/>
          <w:color w:val="4F81BD" w:themeColor="accent1"/>
          <w:sz w:val="24"/>
          <w:szCs w:val="24"/>
        </w:rPr>
        <w:t xml:space="preserve"> T</w:t>
      </w:r>
      <w:r w:rsidR="00D404DC" w:rsidRPr="00A25F25">
        <w:rPr>
          <w:rFonts w:ascii="Times New Roman" w:hAnsi="Times New Roman" w:cs="Times New Roman"/>
          <w:color w:val="4F81BD" w:themeColor="accent1"/>
          <w:sz w:val="24"/>
          <w:szCs w:val="24"/>
        </w:rPr>
        <w:t>hese accounts have not been included in the analysis.</w:t>
      </w:r>
    </w:p>
    <w:p w14:paraId="60C1C193" w14:textId="1CF18080" w:rsidR="00865096" w:rsidRPr="00A25F25" w:rsidRDefault="0006389C" w:rsidP="00865096">
      <w:pPr>
        <w:pStyle w:val="ListParagraph"/>
        <w:numPr>
          <w:ilvl w:val="0"/>
          <w:numId w:val="24"/>
        </w:numPr>
        <w:spacing w:line="252" w:lineRule="auto"/>
        <w:rPr>
          <w:rFonts w:ascii="Times New Roman" w:hAnsi="Times New Roman" w:cs="Times New Roman"/>
          <w:color w:val="4F81BD" w:themeColor="accent1"/>
          <w:sz w:val="24"/>
          <w:szCs w:val="24"/>
        </w:rPr>
      </w:pPr>
      <w:r w:rsidRPr="00A25F25">
        <w:rPr>
          <w:rFonts w:ascii="Times New Roman" w:hAnsi="Times New Roman" w:cs="Times New Roman"/>
          <w:color w:val="4F81BD" w:themeColor="accent1"/>
          <w:sz w:val="24"/>
          <w:szCs w:val="24"/>
        </w:rPr>
        <w:t xml:space="preserve">Different years </w:t>
      </w:r>
      <w:r w:rsidR="00D404DC" w:rsidRPr="00A25F25">
        <w:rPr>
          <w:rFonts w:ascii="Times New Roman" w:hAnsi="Times New Roman" w:cs="Times New Roman"/>
          <w:color w:val="4F81BD" w:themeColor="accent1"/>
          <w:sz w:val="24"/>
          <w:szCs w:val="24"/>
        </w:rPr>
        <w:t>presented</w:t>
      </w:r>
      <w:r w:rsidRPr="00A25F25">
        <w:rPr>
          <w:rFonts w:ascii="Times New Roman" w:hAnsi="Times New Roman" w:cs="Times New Roman"/>
          <w:color w:val="4F81BD" w:themeColor="accent1"/>
          <w:sz w:val="24"/>
          <w:szCs w:val="24"/>
        </w:rPr>
        <w:t xml:space="preserve"> us with different analysis for e-statement users.</w:t>
      </w:r>
      <w:r w:rsidR="00A25F25" w:rsidRPr="00A25F25">
        <w:rPr>
          <w:rFonts w:ascii="Times New Roman" w:hAnsi="Times New Roman" w:cs="Times New Roman"/>
          <w:color w:val="4F81BD" w:themeColor="accent1"/>
          <w:sz w:val="24"/>
          <w:szCs w:val="24"/>
        </w:rPr>
        <w:t xml:space="preserve"> Prior to 2015, user accounts that did not use e-statement had more probability for defaulting. 2015 shows a contradictory story.</w:t>
      </w:r>
    </w:p>
    <w:p w14:paraId="0D78AE5E" w14:textId="6ED6C230" w:rsidR="00865096" w:rsidRPr="00A25F25" w:rsidRDefault="00865096" w:rsidP="00865096">
      <w:pPr>
        <w:pStyle w:val="ListParagraph"/>
        <w:numPr>
          <w:ilvl w:val="0"/>
          <w:numId w:val="24"/>
        </w:numPr>
        <w:spacing w:line="252" w:lineRule="auto"/>
        <w:rPr>
          <w:rFonts w:ascii="Times New Roman" w:hAnsi="Times New Roman" w:cs="Times New Roman"/>
          <w:color w:val="4F81BD" w:themeColor="accent1"/>
          <w:sz w:val="24"/>
          <w:szCs w:val="24"/>
        </w:rPr>
      </w:pPr>
      <w:r w:rsidRPr="00A25F25">
        <w:rPr>
          <w:rFonts w:ascii="Times New Roman" w:hAnsi="Times New Roman" w:cs="Times New Roman"/>
          <w:color w:val="4F81BD" w:themeColor="accent1"/>
          <w:sz w:val="24"/>
          <w:szCs w:val="24"/>
        </w:rPr>
        <w:lastRenderedPageBreak/>
        <w:t>Also</w:t>
      </w:r>
      <w:r w:rsidR="00A25F25">
        <w:rPr>
          <w:rFonts w:ascii="Times New Roman" w:hAnsi="Times New Roman" w:cs="Times New Roman"/>
          <w:color w:val="4F81BD" w:themeColor="accent1"/>
          <w:sz w:val="24"/>
          <w:szCs w:val="24"/>
        </w:rPr>
        <w:t xml:space="preserve">, </w:t>
      </w:r>
      <w:r w:rsidRPr="00A25F25">
        <w:rPr>
          <w:rFonts w:ascii="Times New Roman" w:hAnsi="Times New Roman" w:cs="Times New Roman"/>
          <w:color w:val="4F81BD" w:themeColor="accent1"/>
          <w:sz w:val="24"/>
          <w:szCs w:val="24"/>
        </w:rPr>
        <w:t>other factors could contribute to the credit risk analysis like Balance</w:t>
      </w:r>
      <w:r w:rsidR="00A25F25" w:rsidRPr="00A25F25">
        <w:rPr>
          <w:rFonts w:ascii="Times New Roman" w:hAnsi="Times New Roman" w:cs="Times New Roman"/>
          <w:color w:val="4F81BD" w:themeColor="accent1"/>
          <w:sz w:val="24"/>
          <w:szCs w:val="24"/>
        </w:rPr>
        <w:t xml:space="preserve"> and credit limit</w:t>
      </w:r>
      <w:r w:rsidRPr="00A25F25">
        <w:rPr>
          <w:rFonts w:ascii="Times New Roman" w:hAnsi="Times New Roman" w:cs="Times New Roman"/>
          <w:color w:val="4F81BD" w:themeColor="accent1"/>
          <w:sz w:val="24"/>
          <w:szCs w:val="24"/>
        </w:rPr>
        <w:t xml:space="preserve"> which have not been fully explored.</w:t>
      </w:r>
    </w:p>
    <w:p w14:paraId="7EA45FBC" w14:textId="1EF2B54A" w:rsidR="00434B27" w:rsidRPr="00865096" w:rsidRDefault="00A86A17" w:rsidP="00434B27">
      <w:pPr>
        <w:numPr>
          <w:ilvl w:val="1"/>
          <w:numId w:val="22"/>
        </w:numPr>
        <w:spacing w:line="252" w:lineRule="auto"/>
        <w:rPr>
          <w:color w:val="92D050"/>
        </w:rPr>
      </w:pPr>
      <w:r>
        <w:t>List other findings that will either support or contradict the above analysis</w:t>
      </w:r>
    </w:p>
    <w:p w14:paraId="602198EB" w14:textId="777B4677" w:rsidR="00434B27" w:rsidRPr="00A25F25" w:rsidRDefault="00434B27" w:rsidP="00A25F25">
      <w:pPr>
        <w:pStyle w:val="ListParagraph"/>
        <w:numPr>
          <w:ilvl w:val="0"/>
          <w:numId w:val="25"/>
        </w:numPr>
        <w:spacing w:line="252" w:lineRule="auto"/>
        <w:ind w:left="1440"/>
        <w:rPr>
          <w:rFonts w:ascii="Times New Roman" w:hAnsi="Times New Roman" w:cs="Times New Roman"/>
          <w:color w:val="4F81BD" w:themeColor="accent1"/>
          <w:sz w:val="24"/>
          <w:szCs w:val="24"/>
        </w:rPr>
      </w:pPr>
      <w:r w:rsidRPr="00A25F25">
        <w:rPr>
          <w:rFonts w:ascii="Times New Roman" w:hAnsi="Times New Roman" w:cs="Times New Roman"/>
          <w:color w:val="4F81BD" w:themeColor="accent1"/>
          <w:sz w:val="24"/>
          <w:szCs w:val="24"/>
        </w:rPr>
        <w:t>If same analysis is produced for the Jan 2014 open cases against 2014 charge offs, the probability contrasts with the 2015 analysis. Probability of defaulters is higher for those accounts which haven’t switched to e-statement.</w:t>
      </w:r>
    </w:p>
    <w:p w14:paraId="4F4B49E0" w14:textId="769FC685" w:rsidR="00865096" w:rsidRPr="00A25F25" w:rsidRDefault="00865096" w:rsidP="00A25F25">
      <w:pPr>
        <w:spacing w:line="252" w:lineRule="auto"/>
        <w:ind w:left="1440"/>
        <w:rPr>
          <w:color w:val="4F81BD" w:themeColor="accent1"/>
          <w:szCs w:val="24"/>
        </w:rPr>
      </w:pPr>
      <w:r w:rsidRPr="00A25F25">
        <w:rPr>
          <w:color w:val="4F81BD" w:themeColor="accent1"/>
          <w:szCs w:val="24"/>
        </w:rPr>
        <w:t>This weakens the given analysis.</w:t>
      </w:r>
    </w:p>
    <w:p w14:paraId="632029AF" w14:textId="77777777" w:rsidR="00115289" w:rsidRDefault="00115289" w:rsidP="00434B27">
      <w:pPr>
        <w:spacing w:line="252" w:lineRule="auto"/>
        <w:ind w:left="720"/>
      </w:pPr>
    </w:p>
    <w:p w14:paraId="268D6F72" w14:textId="627F83CD" w:rsidR="00434B27" w:rsidRDefault="00115289" w:rsidP="00A25F25">
      <w:pPr>
        <w:spacing w:line="252" w:lineRule="auto"/>
        <w:ind w:left="1440"/>
      </w:pPr>
      <w:r>
        <w:rPr>
          <w:noProof/>
        </w:rPr>
        <w:drawing>
          <wp:inline distT="0" distB="0" distL="0" distR="0" wp14:anchorId="1085A86E" wp14:editId="64CE8EB1">
            <wp:extent cx="3192780" cy="2087880"/>
            <wp:effectExtent l="0" t="0" r="7620" b="7620"/>
            <wp:docPr id="2" name="Chart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F035D3" w14:textId="2A4DBE23" w:rsidR="00115289" w:rsidRPr="000F19D2" w:rsidRDefault="00115289" w:rsidP="00A25F25">
      <w:pPr>
        <w:spacing w:line="252" w:lineRule="auto"/>
        <w:ind w:left="1440"/>
        <w:rPr>
          <w:color w:val="4F81BD" w:themeColor="accent1"/>
          <w:szCs w:val="24"/>
        </w:rPr>
      </w:pPr>
    </w:p>
    <w:p w14:paraId="0384206E" w14:textId="5050ED06" w:rsidR="00115289" w:rsidRPr="000F19D2" w:rsidRDefault="00115289" w:rsidP="00A25F25">
      <w:pPr>
        <w:pStyle w:val="ListParagraph"/>
        <w:numPr>
          <w:ilvl w:val="0"/>
          <w:numId w:val="25"/>
        </w:numPr>
        <w:rPr>
          <w:rFonts w:ascii="Times New Roman" w:hAnsi="Times New Roman" w:cs="Times New Roman"/>
          <w:color w:val="4F81BD" w:themeColor="accent1"/>
          <w:sz w:val="24"/>
          <w:szCs w:val="24"/>
        </w:rPr>
      </w:pPr>
      <w:r w:rsidRPr="000F19D2">
        <w:rPr>
          <w:rFonts w:ascii="Times New Roman" w:hAnsi="Times New Roman" w:cs="Times New Roman"/>
          <w:color w:val="4F81BD" w:themeColor="accent1"/>
          <w:sz w:val="24"/>
          <w:szCs w:val="24"/>
        </w:rPr>
        <w:t>Three closed accounts 10000120, 10000220 and 10001006 where balance is greater than $0 have not been accounted for in the analysis.</w:t>
      </w:r>
    </w:p>
    <w:p w14:paraId="4BA1E7A1" w14:textId="1A53C375" w:rsidR="000F19D2" w:rsidRPr="000F19D2" w:rsidRDefault="000F19D2" w:rsidP="00A25F25">
      <w:pPr>
        <w:pStyle w:val="ListParagraph"/>
        <w:numPr>
          <w:ilvl w:val="0"/>
          <w:numId w:val="25"/>
        </w:numPr>
        <w:rPr>
          <w:rFonts w:ascii="Times New Roman" w:hAnsi="Times New Roman" w:cs="Times New Roman"/>
          <w:color w:val="4F81BD" w:themeColor="accent1"/>
          <w:sz w:val="24"/>
          <w:szCs w:val="24"/>
        </w:rPr>
      </w:pPr>
      <w:r w:rsidRPr="000F19D2">
        <w:rPr>
          <w:rFonts w:ascii="Times New Roman" w:hAnsi="Times New Roman" w:cs="Times New Roman"/>
          <w:color w:val="4F81BD" w:themeColor="accent1"/>
          <w:sz w:val="24"/>
          <w:szCs w:val="24"/>
        </w:rPr>
        <w:t>Out of the accounts that charged off, the users that used e-statement had a greater balance associated. Implies e-statement users tend to charge off more money.</w:t>
      </w:r>
    </w:p>
    <w:p w14:paraId="0019FD08" w14:textId="6361DD22" w:rsidR="00434B27" w:rsidRDefault="00434B27" w:rsidP="00434B27">
      <w:pPr>
        <w:spacing w:line="252" w:lineRule="auto"/>
        <w:ind w:left="720"/>
      </w:pPr>
    </w:p>
    <w:p w14:paraId="37B4891A" w14:textId="77777777" w:rsidR="0061258D" w:rsidRDefault="0061258D" w:rsidP="0061258D">
      <w:pPr>
        <w:spacing w:line="252" w:lineRule="auto"/>
        <w:ind w:left="720"/>
      </w:pPr>
    </w:p>
    <w:p w14:paraId="3B794CE1" w14:textId="4FDE7DD3" w:rsidR="00F56FA2" w:rsidRPr="00434B27" w:rsidRDefault="00615CFC" w:rsidP="007C0DED">
      <w:pPr>
        <w:numPr>
          <w:ilvl w:val="1"/>
          <w:numId w:val="22"/>
        </w:numPr>
        <w:spacing w:line="252" w:lineRule="auto"/>
        <w:rPr>
          <w:color w:val="92D050"/>
        </w:rPr>
      </w:pPr>
      <w:r>
        <w:t>What’s your assessment on the relationship between e-statement and credit risk and provide a single chart to support your claim.</w:t>
      </w:r>
    </w:p>
    <w:p w14:paraId="52679539" w14:textId="1F63D903" w:rsidR="00A73E4D" w:rsidRPr="000F19D2" w:rsidRDefault="0054776D" w:rsidP="0054776D">
      <w:pPr>
        <w:tabs>
          <w:tab w:val="left" w:pos="5580"/>
        </w:tabs>
        <w:spacing w:line="252" w:lineRule="auto"/>
        <w:ind w:left="720"/>
        <w:rPr>
          <w:color w:val="4F81BD" w:themeColor="accent1"/>
        </w:rPr>
      </w:pPr>
      <w:r w:rsidRPr="000F19D2">
        <w:rPr>
          <w:color w:val="4F81BD" w:themeColor="accent1"/>
        </w:rPr>
        <w:t xml:space="preserve">There is no strong relationship between e-statement and </w:t>
      </w:r>
      <w:r w:rsidR="00D41845" w:rsidRPr="000F19D2">
        <w:rPr>
          <w:color w:val="4F81BD" w:themeColor="accent1"/>
        </w:rPr>
        <w:t>credit risk. In total there are 70 accounts provided to us. 24 out of 70 accounts have been identified as charged off</w:t>
      </w:r>
      <w:r w:rsidR="0061258D" w:rsidRPr="000F19D2">
        <w:rPr>
          <w:color w:val="4F81BD" w:themeColor="accent1"/>
        </w:rPr>
        <w:t>.</w:t>
      </w:r>
      <w:r w:rsidR="00A73E4D" w:rsidRPr="000F19D2">
        <w:rPr>
          <w:color w:val="4F81BD" w:themeColor="accent1"/>
        </w:rPr>
        <w:t xml:space="preserve"> There is an equal distribution of 12 each for users which use e </w:t>
      </w:r>
      <w:r w:rsidR="00434B27" w:rsidRPr="000F19D2">
        <w:rPr>
          <w:color w:val="4F81BD" w:themeColor="accent1"/>
        </w:rPr>
        <w:t>statement,</w:t>
      </w:r>
      <w:r w:rsidR="00A73E4D" w:rsidRPr="000F19D2">
        <w:rPr>
          <w:color w:val="4F81BD" w:themeColor="accent1"/>
        </w:rPr>
        <w:t xml:space="preserve"> and which don’t.</w:t>
      </w:r>
      <w:r w:rsidR="000F19D2">
        <w:rPr>
          <w:color w:val="4F81BD" w:themeColor="accent1"/>
        </w:rPr>
        <w:t xml:space="preserve"> The graph below </w:t>
      </w:r>
      <w:r w:rsidR="00D546A1">
        <w:rPr>
          <w:color w:val="4F81BD" w:themeColor="accent1"/>
        </w:rPr>
        <w:t>depicts there is no significant trend available between e-statement users and their charge off distributions to draw conclusions from.</w:t>
      </w:r>
    </w:p>
    <w:p w14:paraId="000D582B" w14:textId="77777777" w:rsidR="00434B27" w:rsidRDefault="00434B27" w:rsidP="0054776D">
      <w:pPr>
        <w:tabs>
          <w:tab w:val="left" w:pos="5580"/>
        </w:tabs>
        <w:spacing w:line="252" w:lineRule="auto"/>
        <w:ind w:left="720"/>
        <w:rPr>
          <w:color w:val="4F6228" w:themeColor="accent3" w:themeShade="80"/>
        </w:rPr>
      </w:pPr>
    </w:p>
    <w:p w14:paraId="258DF62C" w14:textId="611B269F" w:rsidR="0054776D" w:rsidRPr="0054776D" w:rsidRDefault="000F19D2" w:rsidP="0054776D">
      <w:pPr>
        <w:tabs>
          <w:tab w:val="left" w:pos="5580"/>
        </w:tabs>
        <w:spacing w:line="252" w:lineRule="auto"/>
        <w:ind w:left="720"/>
        <w:rPr>
          <w:color w:val="4F6228" w:themeColor="accent3" w:themeShade="80"/>
        </w:rPr>
      </w:pPr>
      <w:r>
        <w:rPr>
          <w:noProof/>
        </w:rPr>
        <w:lastRenderedPageBreak/>
        <w:drawing>
          <wp:inline distT="0" distB="0" distL="0" distR="0" wp14:anchorId="69A593A7" wp14:editId="101E4B1B">
            <wp:extent cx="4533900" cy="2743200"/>
            <wp:effectExtent l="0" t="0" r="0" b="0"/>
            <wp:docPr id="1" name="Chart 1">
              <a:extLst xmlns:a="http://schemas.openxmlformats.org/drawingml/2006/main">
                <a:ext uri="{FF2B5EF4-FFF2-40B4-BE49-F238E27FC236}">
                  <a16:creationId xmlns:a16="http://schemas.microsoft.com/office/drawing/2014/main" id="{8F783317-3965-49E1-8999-F88A203D9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61258D">
        <w:rPr>
          <w:color w:val="4F6228" w:themeColor="accent3" w:themeShade="80"/>
        </w:rPr>
        <w:t xml:space="preserve"> </w:t>
      </w:r>
    </w:p>
    <w:p w14:paraId="37871AFF" w14:textId="77777777" w:rsidR="00D261F9" w:rsidRDefault="00D261F9" w:rsidP="00CD4B4B">
      <w:pPr>
        <w:spacing w:line="276" w:lineRule="auto"/>
      </w:pPr>
    </w:p>
    <w:p w14:paraId="55237882" w14:textId="6341CCB4" w:rsidR="009F5954" w:rsidRDefault="005D32B3" w:rsidP="009F5954">
      <w:pPr>
        <w:numPr>
          <w:ilvl w:val="0"/>
          <w:numId w:val="2"/>
        </w:numPr>
      </w:pPr>
      <w:r>
        <w:t>[1</w:t>
      </w:r>
      <w:r w:rsidR="00F776C4">
        <w:t>0</w:t>
      </w:r>
      <w:r w:rsidR="00B57578">
        <w:t xml:space="preserve"> </w:t>
      </w:r>
      <w:r w:rsidR="009F5954">
        <w:t xml:space="preserve">points] Download </w:t>
      </w:r>
      <w:r w:rsidR="00B57578">
        <w:t>the “City of Chicago – Homicide” dataset from Canvas. Use this dataset to answer the following questions:</w:t>
      </w:r>
    </w:p>
    <w:p w14:paraId="4CD30531" w14:textId="77777777" w:rsidR="005245AC" w:rsidRDefault="005245AC" w:rsidP="005245AC">
      <w:pPr>
        <w:ind w:left="360"/>
      </w:pPr>
    </w:p>
    <w:p w14:paraId="76810638" w14:textId="15FAE6BE" w:rsidR="00B57578" w:rsidRPr="00D546A1" w:rsidRDefault="005245AC" w:rsidP="00B57578">
      <w:pPr>
        <w:numPr>
          <w:ilvl w:val="1"/>
          <w:numId w:val="2"/>
        </w:numPr>
        <w:rPr>
          <w:color w:val="4F81BD" w:themeColor="accent1"/>
        </w:rPr>
      </w:pPr>
      <w:r>
        <w:t xml:space="preserve">Suppose that the Chicago Police Department is concerned about lack of resources in </w:t>
      </w:r>
      <w:r w:rsidR="0003227A">
        <w:t>some</w:t>
      </w:r>
      <w:r>
        <w:t xml:space="preserve"> districts, particularly among those seeing sharp increase of h</w:t>
      </w:r>
      <w:r w:rsidR="0003227A">
        <w:t>omicides and significant decline of homicide arrest rates (defined by the number of arrests over the number of homicides)</w:t>
      </w:r>
      <w:r w:rsidR="000C2161">
        <w:t xml:space="preserve"> </w:t>
      </w:r>
      <w:r w:rsidR="0003227A">
        <w:t xml:space="preserve">between 2015 and 2016. Which </w:t>
      </w:r>
      <w:r w:rsidR="00116E81">
        <w:t xml:space="preserve">three </w:t>
      </w:r>
      <w:r w:rsidR="0003227A">
        <w:t>districts are the most concerning districts?</w:t>
      </w:r>
    </w:p>
    <w:p w14:paraId="5572D0AD" w14:textId="27A32A47" w:rsidR="00CC3074" w:rsidRPr="00D546A1" w:rsidRDefault="00D546A1" w:rsidP="00CC3074">
      <w:pPr>
        <w:ind w:left="720"/>
        <w:rPr>
          <w:color w:val="4F81BD" w:themeColor="accent1"/>
        </w:rPr>
      </w:pPr>
      <w:r w:rsidRPr="00D546A1">
        <w:rPr>
          <w:color w:val="4F81BD" w:themeColor="accent1"/>
        </w:rPr>
        <w:t>To</w:t>
      </w:r>
      <w:r w:rsidR="00CC3074" w:rsidRPr="00D546A1">
        <w:rPr>
          <w:color w:val="4F81BD" w:themeColor="accent1"/>
        </w:rPr>
        <w:t xml:space="preserve"> find the most concerning districts, we are </w:t>
      </w:r>
      <w:r w:rsidR="00BD5CC1" w:rsidRPr="00D546A1">
        <w:rPr>
          <w:color w:val="4F81BD" w:themeColor="accent1"/>
        </w:rPr>
        <w:t xml:space="preserve">looking </w:t>
      </w:r>
      <w:r w:rsidR="00CC3074" w:rsidRPr="00D546A1">
        <w:rPr>
          <w:color w:val="4F81BD" w:themeColor="accent1"/>
        </w:rPr>
        <w:t>to maximize the number of homicides and minimize th</w:t>
      </w:r>
      <w:r w:rsidR="00BD5CC1" w:rsidRPr="00D546A1">
        <w:rPr>
          <w:color w:val="4F81BD" w:themeColor="accent1"/>
        </w:rPr>
        <w:t>e homicide arrest rates.</w:t>
      </w:r>
    </w:p>
    <w:p w14:paraId="7340F25C" w14:textId="1D9EA3BE" w:rsidR="00BD5CC1" w:rsidRPr="00D546A1" w:rsidRDefault="00BD5CC1" w:rsidP="00CC3074">
      <w:pPr>
        <w:ind w:left="720"/>
        <w:rPr>
          <w:color w:val="4F81BD" w:themeColor="accent1"/>
        </w:rPr>
      </w:pPr>
    </w:p>
    <w:tbl>
      <w:tblPr>
        <w:tblW w:w="6005" w:type="dxa"/>
        <w:tblInd w:w="1327" w:type="dxa"/>
        <w:tblLook w:val="04A0" w:firstRow="1" w:lastRow="0" w:firstColumn="1" w:lastColumn="0" w:noHBand="0" w:noVBand="1"/>
      </w:tblPr>
      <w:tblGrid>
        <w:gridCol w:w="1800"/>
        <w:gridCol w:w="1960"/>
        <w:gridCol w:w="1998"/>
        <w:gridCol w:w="765"/>
      </w:tblGrid>
      <w:tr w:rsidR="00D546A1" w:rsidRPr="00D546A1" w14:paraId="3E3BC1D5" w14:textId="77777777" w:rsidTr="00D546A1">
        <w:trPr>
          <w:trHeight w:val="312"/>
        </w:trPr>
        <w:tc>
          <w:tcPr>
            <w:tcW w:w="18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66A9A0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District</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12A44D46" w14:textId="6FE53FB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Increase in Homicide</w:t>
            </w:r>
            <w:r>
              <w:rPr>
                <w:rFonts w:ascii="Agency FB" w:hAnsi="Agency FB" w:cs="Calibri"/>
                <w:color w:val="000000"/>
                <w:szCs w:val="24"/>
                <w:lang w:eastAsia="en-US"/>
              </w:rPr>
              <w:t xml:space="preserve"> (between 2015 and 2016)</w:t>
            </w:r>
          </w:p>
        </w:tc>
        <w:tc>
          <w:tcPr>
            <w:tcW w:w="1998" w:type="dxa"/>
            <w:tcBorders>
              <w:top w:val="single" w:sz="4" w:space="0" w:color="auto"/>
              <w:left w:val="nil"/>
              <w:bottom w:val="single" w:sz="4" w:space="0" w:color="auto"/>
              <w:right w:val="single" w:sz="4" w:space="0" w:color="auto"/>
            </w:tcBorders>
            <w:shd w:val="clear" w:color="000000" w:fill="D9D9D9"/>
            <w:noWrap/>
            <w:vAlign w:val="center"/>
            <w:hideMark/>
          </w:tcPr>
          <w:p w14:paraId="44352F86" w14:textId="2597F88C"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 xml:space="preserve">% </w:t>
            </w:r>
            <w:proofErr w:type="spellStart"/>
            <w:r w:rsidRPr="00D546A1">
              <w:rPr>
                <w:rFonts w:ascii="Agency FB" w:hAnsi="Agency FB" w:cs="Calibri"/>
                <w:color w:val="000000"/>
                <w:szCs w:val="24"/>
                <w:lang w:eastAsia="en-US"/>
              </w:rPr>
              <w:t>Incr</w:t>
            </w:r>
            <w:proofErr w:type="spellEnd"/>
            <w:r w:rsidRPr="00D546A1">
              <w:rPr>
                <w:rFonts w:ascii="Agency FB" w:hAnsi="Agency FB" w:cs="Calibri"/>
                <w:color w:val="000000"/>
                <w:szCs w:val="24"/>
                <w:lang w:eastAsia="en-US"/>
              </w:rPr>
              <w:t xml:space="preserve"> in Homicide</w:t>
            </w:r>
            <w:r>
              <w:rPr>
                <w:rFonts w:ascii="Agency FB" w:hAnsi="Agency FB" w:cs="Calibri"/>
                <w:color w:val="000000"/>
                <w:szCs w:val="24"/>
                <w:lang w:eastAsia="en-US"/>
              </w:rPr>
              <w:t xml:space="preserve"> ((between 2015 and 2016)</w:t>
            </w:r>
          </w:p>
        </w:tc>
        <w:tc>
          <w:tcPr>
            <w:tcW w:w="247" w:type="dxa"/>
            <w:tcBorders>
              <w:top w:val="single" w:sz="4" w:space="0" w:color="auto"/>
              <w:left w:val="nil"/>
              <w:bottom w:val="single" w:sz="4" w:space="0" w:color="auto"/>
              <w:right w:val="single" w:sz="4" w:space="0" w:color="auto"/>
            </w:tcBorders>
            <w:shd w:val="clear" w:color="000000" w:fill="D9D9D9"/>
            <w:noWrap/>
            <w:vAlign w:val="center"/>
            <w:hideMark/>
          </w:tcPr>
          <w:p w14:paraId="476D1141"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Decline in Arrest</w:t>
            </w:r>
          </w:p>
        </w:tc>
      </w:tr>
      <w:tr w:rsidR="00D546A1" w:rsidRPr="00D546A1" w14:paraId="73D2DEAB"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587CC57"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w:t>
            </w:r>
          </w:p>
        </w:tc>
        <w:tc>
          <w:tcPr>
            <w:tcW w:w="1960" w:type="dxa"/>
            <w:tcBorders>
              <w:top w:val="nil"/>
              <w:left w:val="nil"/>
              <w:bottom w:val="single" w:sz="4" w:space="0" w:color="auto"/>
              <w:right w:val="single" w:sz="4" w:space="0" w:color="auto"/>
            </w:tcBorders>
            <w:shd w:val="clear" w:color="auto" w:fill="auto"/>
            <w:noWrap/>
            <w:vAlign w:val="bottom"/>
            <w:hideMark/>
          </w:tcPr>
          <w:p w14:paraId="15B6F5C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w:t>
            </w:r>
          </w:p>
        </w:tc>
        <w:tc>
          <w:tcPr>
            <w:tcW w:w="1998" w:type="dxa"/>
            <w:tcBorders>
              <w:top w:val="nil"/>
              <w:left w:val="nil"/>
              <w:bottom w:val="single" w:sz="4" w:space="0" w:color="auto"/>
              <w:right w:val="single" w:sz="4" w:space="0" w:color="auto"/>
            </w:tcBorders>
            <w:shd w:val="clear" w:color="auto" w:fill="auto"/>
            <w:noWrap/>
            <w:vAlign w:val="bottom"/>
            <w:hideMark/>
          </w:tcPr>
          <w:p w14:paraId="26FFBAC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80%</w:t>
            </w:r>
          </w:p>
        </w:tc>
        <w:tc>
          <w:tcPr>
            <w:tcW w:w="247" w:type="dxa"/>
            <w:tcBorders>
              <w:top w:val="nil"/>
              <w:left w:val="nil"/>
              <w:bottom w:val="single" w:sz="4" w:space="0" w:color="auto"/>
              <w:right w:val="single" w:sz="4" w:space="0" w:color="auto"/>
            </w:tcBorders>
            <w:shd w:val="clear" w:color="auto" w:fill="auto"/>
            <w:noWrap/>
            <w:vAlign w:val="bottom"/>
            <w:hideMark/>
          </w:tcPr>
          <w:p w14:paraId="3BACEB7D"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29%</w:t>
            </w:r>
          </w:p>
        </w:tc>
      </w:tr>
      <w:tr w:rsidR="00D546A1" w:rsidRPr="00D546A1" w14:paraId="485DB95E"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BB5322A"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w:t>
            </w:r>
          </w:p>
        </w:tc>
        <w:tc>
          <w:tcPr>
            <w:tcW w:w="1960" w:type="dxa"/>
            <w:tcBorders>
              <w:top w:val="nil"/>
              <w:left w:val="nil"/>
              <w:bottom w:val="single" w:sz="4" w:space="0" w:color="auto"/>
              <w:right w:val="single" w:sz="4" w:space="0" w:color="auto"/>
            </w:tcBorders>
            <w:shd w:val="clear" w:color="auto" w:fill="auto"/>
            <w:noWrap/>
            <w:vAlign w:val="bottom"/>
            <w:hideMark/>
          </w:tcPr>
          <w:p w14:paraId="715272C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7</w:t>
            </w:r>
          </w:p>
        </w:tc>
        <w:tc>
          <w:tcPr>
            <w:tcW w:w="1998" w:type="dxa"/>
            <w:tcBorders>
              <w:top w:val="nil"/>
              <w:left w:val="nil"/>
              <w:bottom w:val="single" w:sz="4" w:space="0" w:color="auto"/>
              <w:right w:val="single" w:sz="4" w:space="0" w:color="auto"/>
            </w:tcBorders>
            <w:shd w:val="clear" w:color="auto" w:fill="auto"/>
            <w:noWrap/>
            <w:vAlign w:val="bottom"/>
            <w:hideMark/>
          </w:tcPr>
          <w:p w14:paraId="03098646"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30%</w:t>
            </w:r>
          </w:p>
        </w:tc>
        <w:tc>
          <w:tcPr>
            <w:tcW w:w="247" w:type="dxa"/>
            <w:tcBorders>
              <w:top w:val="nil"/>
              <w:left w:val="nil"/>
              <w:bottom w:val="single" w:sz="4" w:space="0" w:color="auto"/>
              <w:right w:val="single" w:sz="4" w:space="0" w:color="auto"/>
            </w:tcBorders>
            <w:shd w:val="clear" w:color="auto" w:fill="auto"/>
            <w:noWrap/>
            <w:vAlign w:val="bottom"/>
            <w:hideMark/>
          </w:tcPr>
          <w:p w14:paraId="1F70E06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17%</w:t>
            </w:r>
          </w:p>
        </w:tc>
      </w:tr>
      <w:tr w:rsidR="00D546A1" w:rsidRPr="00D546A1" w14:paraId="31FEA4A7"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E9D35D9"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w:t>
            </w:r>
          </w:p>
        </w:tc>
        <w:tc>
          <w:tcPr>
            <w:tcW w:w="1960" w:type="dxa"/>
            <w:tcBorders>
              <w:top w:val="nil"/>
              <w:left w:val="nil"/>
              <w:bottom w:val="single" w:sz="4" w:space="0" w:color="auto"/>
              <w:right w:val="single" w:sz="4" w:space="0" w:color="auto"/>
            </w:tcBorders>
            <w:shd w:val="clear" w:color="auto" w:fill="auto"/>
            <w:noWrap/>
            <w:vAlign w:val="bottom"/>
            <w:hideMark/>
          </w:tcPr>
          <w:p w14:paraId="0027927D"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14</w:t>
            </w:r>
          </w:p>
        </w:tc>
        <w:tc>
          <w:tcPr>
            <w:tcW w:w="1998" w:type="dxa"/>
            <w:tcBorders>
              <w:top w:val="nil"/>
              <w:left w:val="nil"/>
              <w:bottom w:val="single" w:sz="4" w:space="0" w:color="auto"/>
              <w:right w:val="single" w:sz="4" w:space="0" w:color="auto"/>
            </w:tcBorders>
            <w:shd w:val="clear" w:color="auto" w:fill="auto"/>
            <w:noWrap/>
            <w:vAlign w:val="bottom"/>
            <w:hideMark/>
          </w:tcPr>
          <w:p w14:paraId="092B71EC"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56%</w:t>
            </w:r>
          </w:p>
        </w:tc>
        <w:tc>
          <w:tcPr>
            <w:tcW w:w="247" w:type="dxa"/>
            <w:tcBorders>
              <w:top w:val="nil"/>
              <w:left w:val="nil"/>
              <w:bottom w:val="single" w:sz="4" w:space="0" w:color="auto"/>
              <w:right w:val="single" w:sz="4" w:space="0" w:color="auto"/>
            </w:tcBorders>
            <w:shd w:val="clear" w:color="auto" w:fill="auto"/>
            <w:noWrap/>
            <w:vAlign w:val="bottom"/>
            <w:hideMark/>
          </w:tcPr>
          <w:p w14:paraId="62BE1A2A"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-13%</w:t>
            </w:r>
          </w:p>
        </w:tc>
      </w:tr>
      <w:tr w:rsidR="00D546A1" w:rsidRPr="00D546A1" w14:paraId="0DC66817"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0FF5856"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w:t>
            </w:r>
          </w:p>
        </w:tc>
        <w:tc>
          <w:tcPr>
            <w:tcW w:w="1960" w:type="dxa"/>
            <w:tcBorders>
              <w:top w:val="nil"/>
              <w:left w:val="nil"/>
              <w:bottom w:val="single" w:sz="4" w:space="0" w:color="auto"/>
              <w:right w:val="single" w:sz="4" w:space="0" w:color="auto"/>
            </w:tcBorders>
            <w:shd w:val="clear" w:color="auto" w:fill="auto"/>
            <w:noWrap/>
            <w:vAlign w:val="bottom"/>
            <w:hideMark/>
          </w:tcPr>
          <w:p w14:paraId="2EECA187"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11</w:t>
            </w:r>
          </w:p>
        </w:tc>
        <w:tc>
          <w:tcPr>
            <w:tcW w:w="1998" w:type="dxa"/>
            <w:tcBorders>
              <w:top w:val="nil"/>
              <w:left w:val="nil"/>
              <w:bottom w:val="single" w:sz="4" w:space="0" w:color="auto"/>
              <w:right w:val="single" w:sz="4" w:space="0" w:color="auto"/>
            </w:tcBorders>
            <w:shd w:val="clear" w:color="auto" w:fill="auto"/>
            <w:noWrap/>
            <w:vAlign w:val="bottom"/>
            <w:hideMark/>
          </w:tcPr>
          <w:p w14:paraId="46FD7A0E"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38%</w:t>
            </w:r>
          </w:p>
        </w:tc>
        <w:tc>
          <w:tcPr>
            <w:tcW w:w="247" w:type="dxa"/>
            <w:tcBorders>
              <w:top w:val="nil"/>
              <w:left w:val="nil"/>
              <w:bottom w:val="single" w:sz="4" w:space="0" w:color="auto"/>
              <w:right w:val="single" w:sz="4" w:space="0" w:color="auto"/>
            </w:tcBorders>
            <w:shd w:val="clear" w:color="auto" w:fill="auto"/>
            <w:noWrap/>
            <w:vAlign w:val="bottom"/>
            <w:hideMark/>
          </w:tcPr>
          <w:p w14:paraId="054045E7"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7%</w:t>
            </w:r>
          </w:p>
        </w:tc>
      </w:tr>
      <w:tr w:rsidR="00D546A1" w:rsidRPr="00D546A1" w14:paraId="52491566"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F94048A"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5</w:t>
            </w:r>
          </w:p>
        </w:tc>
        <w:tc>
          <w:tcPr>
            <w:tcW w:w="1960" w:type="dxa"/>
            <w:tcBorders>
              <w:top w:val="nil"/>
              <w:left w:val="nil"/>
              <w:bottom w:val="single" w:sz="4" w:space="0" w:color="auto"/>
              <w:right w:val="single" w:sz="4" w:space="0" w:color="auto"/>
            </w:tcBorders>
            <w:shd w:val="clear" w:color="auto" w:fill="auto"/>
            <w:noWrap/>
            <w:vAlign w:val="bottom"/>
            <w:hideMark/>
          </w:tcPr>
          <w:p w14:paraId="3C7ECEDE"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14</w:t>
            </w:r>
          </w:p>
        </w:tc>
        <w:tc>
          <w:tcPr>
            <w:tcW w:w="1998" w:type="dxa"/>
            <w:tcBorders>
              <w:top w:val="nil"/>
              <w:left w:val="nil"/>
              <w:bottom w:val="single" w:sz="4" w:space="0" w:color="auto"/>
              <w:right w:val="single" w:sz="4" w:space="0" w:color="auto"/>
            </w:tcBorders>
            <w:shd w:val="clear" w:color="auto" w:fill="auto"/>
            <w:noWrap/>
            <w:vAlign w:val="bottom"/>
            <w:hideMark/>
          </w:tcPr>
          <w:p w14:paraId="67D2DEF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47%</w:t>
            </w:r>
          </w:p>
        </w:tc>
        <w:tc>
          <w:tcPr>
            <w:tcW w:w="247" w:type="dxa"/>
            <w:tcBorders>
              <w:top w:val="nil"/>
              <w:left w:val="nil"/>
              <w:bottom w:val="single" w:sz="4" w:space="0" w:color="auto"/>
              <w:right w:val="single" w:sz="4" w:space="0" w:color="auto"/>
            </w:tcBorders>
            <w:shd w:val="clear" w:color="auto" w:fill="auto"/>
            <w:noWrap/>
            <w:vAlign w:val="bottom"/>
            <w:hideMark/>
          </w:tcPr>
          <w:p w14:paraId="1FC1363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-14%</w:t>
            </w:r>
          </w:p>
        </w:tc>
      </w:tr>
      <w:tr w:rsidR="00D546A1" w:rsidRPr="00D546A1" w14:paraId="149DF1BB"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8C6BFD9"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6</w:t>
            </w:r>
          </w:p>
        </w:tc>
        <w:tc>
          <w:tcPr>
            <w:tcW w:w="1960" w:type="dxa"/>
            <w:tcBorders>
              <w:top w:val="nil"/>
              <w:left w:val="nil"/>
              <w:bottom w:val="single" w:sz="4" w:space="0" w:color="auto"/>
              <w:right w:val="single" w:sz="4" w:space="0" w:color="auto"/>
            </w:tcBorders>
            <w:shd w:val="clear" w:color="auto" w:fill="auto"/>
            <w:noWrap/>
            <w:vAlign w:val="bottom"/>
            <w:hideMark/>
          </w:tcPr>
          <w:p w14:paraId="5BBAC0D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17</w:t>
            </w:r>
          </w:p>
        </w:tc>
        <w:tc>
          <w:tcPr>
            <w:tcW w:w="1998" w:type="dxa"/>
            <w:tcBorders>
              <w:top w:val="nil"/>
              <w:left w:val="nil"/>
              <w:bottom w:val="single" w:sz="4" w:space="0" w:color="auto"/>
              <w:right w:val="single" w:sz="4" w:space="0" w:color="auto"/>
            </w:tcBorders>
            <w:shd w:val="clear" w:color="auto" w:fill="auto"/>
            <w:noWrap/>
            <w:vAlign w:val="bottom"/>
            <w:hideMark/>
          </w:tcPr>
          <w:p w14:paraId="2685169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41%</w:t>
            </w:r>
          </w:p>
        </w:tc>
        <w:tc>
          <w:tcPr>
            <w:tcW w:w="247" w:type="dxa"/>
            <w:tcBorders>
              <w:top w:val="nil"/>
              <w:left w:val="nil"/>
              <w:bottom w:val="single" w:sz="4" w:space="0" w:color="auto"/>
              <w:right w:val="single" w:sz="4" w:space="0" w:color="auto"/>
            </w:tcBorders>
            <w:shd w:val="clear" w:color="auto" w:fill="auto"/>
            <w:noWrap/>
            <w:vAlign w:val="bottom"/>
            <w:hideMark/>
          </w:tcPr>
          <w:p w14:paraId="5AC00C1F"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-9%</w:t>
            </w:r>
          </w:p>
        </w:tc>
      </w:tr>
      <w:tr w:rsidR="00D546A1" w:rsidRPr="00D546A1" w14:paraId="4EB5D1D2" w14:textId="77777777" w:rsidTr="00D546A1">
        <w:trPr>
          <w:trHeight w:val="312"/>
        </w:trPr>
        <w:tc>
          <w:tcPr>
            <w:tcW w:w="1800" w:type="dxa"/>
            <w:tcBorders>
              <w:top w:val="nil"/>
              <w:left w:val="single" w:sz="4" w:space="0" w:color="auto"/>
              <w:bottom w:val="single" w:sz="4" w:space="0" w:color="auto"/>
              <w:right w:val="single" w:sz="4" w:space="0" w:color="auto"/>
            </w:tcBorders>
            <w:shd w:val="clear" w:color="000000" w:fill="FFFF00"/>
            <w:noWrap/>
            <w:vAlign w:val="bottom"/>
            <w:hideMark/>
          </w:tcPr>
          <w:p w14:paraId="0A4F5F10"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7</w:t>
            </w:r>
          </w:p>
        </w:tc>
        <w:tc>
          <w:tcPr>
            <w:tcW w:w="1960" w:type="dxa"/>
            <w:tcBorders>
              <w:top w:val="nil"/>
              <w:left w:val="nil"/>
              <w:bottom w:val="single" w:sz="4" w:space="0" w:color="auto"/>
              <w:right w:val="single" w:sz="4" w:space="0" w:color="auto"/>
            </w:tcBorders>
            <w:shd w:val="clear" w:color="000000" w:fill="FFFF00"/>
            <w:noWrap/>
            <w:vAlign w:val="bottom"/>
            <w:hideMark/>
          </w:tcPr>
          <w:p w14:paraId="21FEB14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46</w:t>
            </w:r>
          </w:p>
        </w:tc>
        <w:tc>
          <w:tcPr>
            <w:tcW w:w="1998" w:type="dxa"/>
            <w:tcBorders>
              <w:top w:val="nil"/>
              <w:left w:val="nil"/>
              <w:bottom w:val="single" w:sz="4" w:space="0" w:color="auto"/>
              <w:right w:val="single" w:sz="4" w:space="0" w:color="auto"/>
            </w:tcBorders>
            <w:shd w:val="clear" w:color="000000" w:fill="FFFF00"/>
            <w:noWrap/>
            <w:vAlign w:val="bottom"/>
            <w:hideMark/>
          </w:tcPr>
          <w:p w14:paraId="42E3705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118%</w:t>
            </w:r>
          </w:p>
        </w:tc>
        <w:tc>
          <w:tcPr>
            <w:tcW w:w="247" w:type="dxa"/>
            <w:tcBorders>
              <w:top w:val="nil"/>
              <w:left w:val="nil"/>
              <w:bottom w:val="single" w:sz="4" w:space="0" w:color="auto"/>
              <w:right w:val="single" w:sz="4" w:space="0" w:color="auto"/>
            </w:tcBorders>
            <w:shd w:val="clear" w:color="000000" w:fill="FFFF00"/>
            <w:noWrap/>
            <w:vAlign w:val="bottom"/>
            <w:hideMark/>
          </w:tcPr>
          <w:p w14:paraId="2A59B65D"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-8%</w:t>
            </w:r>
          </w:p>
        </w:tc>
      </w:tr>
      <w:tr w:rsidR="00D546A1" w:rsidRPr="00D546A1" w14:paraId="145ED65C" w14:textId="77777777" w:rsidTr="00D546A1">
        <w:trPr>
          <w:trHeight w:val="312"/>
        </w:trPr>
        <w:tc>
          <w:tcPr>
            <w:tcW w:w="1800" w:type="dxa"/>
            <w:tcBorders>
              <w:top w:val="nil"/>
              <w:left w:val="single" w:sz="4" w:space="0" w:color="auto"/>
              <w:bottom w:val="single" w:sz="4" w:space="0" w:color="auto"/>
              <w:right w:val="single" w:sz="4" w:space="0" w:color="auto"/>
            </w:tcBorders>
            <w:shd w:val="clear" w:color="000000" w:fill="FFFF00"/>
            <w:noWrap/>
            <w:vAlign w:val="bottom"/>
            <w:hideMark/>
          </w:tcPr>
          <w:p w14:paraId="303F3C6F"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8</w:t>
            </w:r>
          </w:p>
        </w:tc>
        <w:tc>
          <w:tcPr>
            <w:tcW w:w="1960" w:type="dxa"/>
            <w:tcBorders>
              <w:top w:val="nil"/>
              <w:left w:val="nil"/>
              <w:bottom w:val="single" w:sz="4" w:space="0" w:color="auto"/>
              <w:right w:val="single" w:sz="4" w:space="0" w:color="auto"/>
            </w:tcBorders>
            <w:shd w:val="clear" w:color="000000" w:fill="FFFF00"/>
            <w:noWrap/>
            <w:vAlign w:val="bottom"/>
            <w:hideMark/>
          </w:tcPr>
          <w:p w14:paraId="04FE2B52"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28</w:t>
            </w:r>
          </w:p>
        </w:tc>
        <w:tc>
          <w:tcPr>
            <w:tcW w:w="1998" w:type="dxa"/>
            <w:tcBorders>
              <w:top w:val="nil"/>
              <w:left w:val="nil"/>
              <w:bottom w:val="single" w:sz="4" w:space="0" w:color="auto"/>
              <w:right w:val="single" w:sz="4" w:space="0" w:color="auto"/>
            </w:tcBorders>
            <w:shd w:val="clear" w:color="000000" w:fill="FFFF00"/>
            <w:noWrap/>
            <w:vAlign w:val="bottom"/>
            <w:hideMark/>
          </w:tcPr>
          <w:p w14:paraId="25D096B9"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93%</w:t>
            </w:r>
          </w:p>
        </w:tc>
        <w:tc>
          <w:tcPr>
            <w:tcW w:w="247" w:type="dxa"/>
            <w:tcBorders>
              <w:top w:val="nil"/>
              <w:left w:val="nil"/>
              <w:bottom w:val="single" w:sz="4" w:space="0" w:color="auto"/>
              <w:right w:val="single" w:sz="4" w:space="0" w:color="auto"/>
            </w:tcBorders>
            <w:shd w:val="clear" w:color="000000" w:fill="FFFF00"/>
            <w:noWrap/>
            <w:vAlign w:val="bottom"/>
            <w:hideMark/>
          </w:tcPr>
          <w:p w14:paraId="4E32F7F2"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-14%</w:t>
            </w:r>
          </w:p>
        </w:tc>
      </w:tr>
      <w:tr w:rsidR="00D546A1" w:rsidRPr="00D546A1" w14:paraId="27BDFEAD"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55239ED"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9</w:t>
            </w:r>
          </w:p>
        </w:tc>
        <w:tc>
          <w:tcPr>
            <w:tcW w:w="1960" w:type="dxa"/>
            <w:tcBorders>
              <w:top w:val="nil"/>
              <w:left w:val="nil"/>
              <w:bottom w:val="single" w:sz="4" w:space="0" w:color="auto"/>
              <w:right w:val="single" w:sz="4" w:space="0" w:color="auto"/>
            </w:tcBorders>
            <w:shd w:val="clear" w:color="auto" w:fill="auto"/>
            <w:noWrap/>
            <w:vAlign w:val="bottom"/>
            <w:hideMark/>
          </w:tcPr>
          <w:p w14:paraId="0E84FCE9"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34</w:t>
            </w:r>
          </w:p>
        </w:tc>
        <w:tc>
          <w:tcPr>
            <w:tcW w:w="1998" w:type="dxa"/>
            <w:tcBorders>
              <w:top w:val="nil"/>
              <w:left w:val="nil"/>
              <w:bottom w:val="single" w:sz="4" w:space="0" w:color="auto"/>
              <w:right w:val="single" w:sz="4" w:space="0" w:color="auto"/>
            </w:tcBorders>
            <w:shd w:val="clear" w:color="auto" w:fill="auto"/>
            <w:noWrap/>
            <w:vAlign w:val="bottom"/>
            <w:hideMark/>
          </w:tcPr>
          <w:p w14:paraId="1EE738E2"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106%</w:t>
            </w:r>
          </w:p>
        </w:tc>
        <w:tc>
          <w:tcPr>
            <w:tcW w:w="247" w:type="dxa"/>
            <w:tcBorders>
              <w:top w:val="nil"/>
              <w:left w:val="nil"/>
              <w:bottom w:val="single" w:sz="4" w:space="0" w:color="auto"/>
              <w:right w:val="single" w:sz="4" w:space="0" w:color="auto"/>
            </w:tcBorders>
            <w:shd w:val="clear" w:color="auto" w:fill="auto"/>
            <w:noWrap/>
            <w:vAlign w:val="bottom"/>
            <w:hideMark/>
          </w:tcPr>
          <w:p w14:paraId="277DFF7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w:t>
            </w:r>
          </w:p>
        </w:tc>
      </w:tr>
      <w:tr w:rsidR="00D546A1" w:rsidRPr="00D546A1" w14:paraId="027644F4"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EDFFE27"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10</w:t>
            </w:r>
          </w:p>
        </w:tc>
        <w:tc>
          <w:tcPr>
            <w:tcW w:w="1960" w:type="dxa"/>
            <w:tcBorders>
              <w:top w:val="nil"/>
              <w:left w:val="nil"/>
              <w:bottom w:val="single" w:sz="4" w:space="0" w:color="auto"/>
              <w:right w:val="single" w:sz="4" w:space="0" w:color="auto"/>
            </w:tcBorders>
            <w:shd w:val="clear" w:color="auto" w:fill="auto"/>
            <w:noWrap/>
            <w:vAlign w:val="bottom"/>
            <w:hideMark/>
          </w:tcPr>
          <w:p w14:paraId="3225E6B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19</w:t>
            </w:r>
          </w:p>
        </w:tc>
        <w:tc>
          <w:tcPr>
            <w:tcW w:w="1998" w:type="dxa"/>
            <w:tcBorders>
              <w:top w:val="nil"/>
              <w:left w:val="nil"/>
              <w:bottom w:val="single" w:sz="4" w:space="0" w:color="auto"/>
              <w:right w:val="single" w:sz="4" w:space="0" w:color="auto"/>
            </w:tcBorders>
            <w:shd w:val="clear" w:color="auto" w:fill="auto"/>
            <w:noWrap/>
            <w:vAlign w:val="bottom"/>
            <w:hideMark/>
          </w:tcPr>
          <w:p w14:paraId="7310344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63%</w:t>
            </w:r>
          </w:p>
        </w:tc>
        <w:tc>
          <w:tcPr>
            <w:tcW w:w="247" w:type="dxa"/>
            <w:tcBorders>
              <w:top w:val="nil"/>
              <w:left w:val="nil"/>
              <w:bottom w:val="single" w:sz="4" w:space="0" w:color="auto"/>
              <w:right w:val="single" w:sz="4" w:space="0" w:color="auto"/>
            </w:tcBorders>
            <w:shd w:val="clear" w:color="auto" w:fill="auto"/>
            <w:noWrap/>
            <w:vAlign w:val="bottom"/>
            <w:hideMark/>
          </w:tcPr>
          <w:p w14:paraId="4FB233B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-22%</w:t>
            </w:r>
          </w:p>
        </w:tc>
      </w:tr>
      <w:tr w:rsidR="00D546A1" w:rsidRPr="00D546A1" w14:paraId="4B4994A1" w14:textId="77777777" w:rsidTr="00D546A1">
        <w:trPr>
          <w:trHeight w:val="312"/>
        </w:trPr>
        <w:tc>
          <w:tcPr>
            <w:tcW w:w="1800" w:type="dxa"/>
            <w:tcBorders>
              <w:top w:val="nil"/>
              <w:left w:val="single" w:sz="4" w:space="0" w:color="auto"/>
              <w:bottom w:val="single" w:sz="4" w:space="0" w:color="auto"/>
              <w:right w:val="single" w:sz="4" w:space="0" w:color="auto"/>
            </w:tcBorders>
            <w:shd w:val="clear" w:color="000000" w:fill="FFFF00"/>
            <w:noWrap/>
            <w:vAlign w:val="bottom"/>
            <w:hideMark/>
          </w:tcPr>
          <w:p w14:paraId="0E3FFFD6"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11</w:t>
            </w:r>
          </w:p>
        </w:tc>
        <w:tc>
          <w:tcPr>
            <w:tcW w:w="1960" w:type="dxa"/>
            <w:tcBorders>
              <w:top w:val="nil"/>
              <w:left w:val="nil"/>
              <w:bottom w:val="single" w:sz="4" w:space="0" w:color="auto"/>
              <w:right w:val="single" w:sz="4" w:space="0" w:color="auto"/>
            </w:tcBorders>
            <w:shd w:val="clear" w:color="000000" w:fill="FFFF00"/>
            <w:noWrap/>
            <w:vAlign w:val="bottom"/>
            <w:hideMark/>
          </w:tcPr>
          <w:p w14:paraId="48467B40"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44</w:t>
            </w:r>
          </w:p>
        </w:tc>
        <w:tc>
          <w:tcPr>
            <w:tcW w:w="1998" w:type="dxa"/>
            <w:tcBorders>
              <w:top w:val="nil"/>
              <w:left w:val="nil"/>
              <w:bottom w:val="single" w:sz="4" w:space="0" w:color="auto"/>
              <w:right w:val="single" w:sz="4" w:space="0" w:color="auto"/>
            </w:tcBorders>
            <w:shd w:val="clear" w:color="000000" w:fill="FFFF00"/>
            <w:noWrap/>
            <w:vAlign w:val="bottom"/>
            <w:hideMark/>
          </w:tcPr>
          <w:p w14:paraId="52F3342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90%</w:t>
            </w:r>
          </w:p>
        </w:tc>
        <w:tc>
          <w:tcPr>
            <w:tcW w:w="247" w:type="dxa"/>
            <w:tcBorders>
              <w:top w:val="nil"/>
              <w:left w:val="nil"/>
              <w:bottom w:val="single" w:sz="4" w:space="0" w:color="auto"/>
              <w:right w:val="single" w:sz="4" w:space="0" w:color="auto"/>
            </w:tcBorders>
            <w:shd w:val="clear" w:color="000000" w:fill="FFFF00"/>
            <w:noWrap/>
            <w:vAlign w:val="bottom"/>
            <w:hideMark/>
          </w:tcPr>
          <w:p w14:paraId="5725415E"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-14%</w:t>
            </w:r>
          </w:p>
        </w:tc>
      </w:tr>
      <w:tr w:rsidR="00D546A1" w:rsidRPr="00D546A1" w14:paraId="7DB1EFAE"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0D7CA64"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12</w:t>
            </w:r>
          </w:p>
        </w:tc>
        <w:tc>
          <w:tcPr>
            <w:tcW w:w="1960" w:type="dxa"/>
            <w:tcBorders>
              <w:top w:val="nil"/>
              <w:left w:val="nil"/>
              <w:bottom w:val="single" w:sz="4" w:space="0" w:color="auto"/>
              <w:right w:val="single" w:sz="4" w:space="0" w:color="auto"/>
            </w:tcBorders>
            <w:shd w:val="clear" w:color="auto" w:fill="auto"/>
            <w:noWrap/>
            <w:vAlign w:val="bottom"/>
            <w:hideMark/>
          </w:tcPr>
          <w:p w14:paraId="517C395E"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7</w:t>
            </w:r>
          </w:p>
        </w:tc>
        <w:tc>
          <w:tcPr>
            <w:tcW w:w="1998" w:type="dxa"/>
            <w:tcBorders>
              <w:top w:val="nil"/>
              <w:left w:val="nil"/>
              <w:bottom w:val="single" w:sz="4" w:space="0" w:color="auto"/>
              <w:right w:val="single" w:sz="4" w:space="0" w:color="auto"/>
            </w:tcBorders>
            <w:shd w:val="clear" w:color="auto" w:fill="auto"/>
            <w:noWrap/>
            <w:vAlign w:val="bottom"/>
            <w:hideMark/>
          </w:tcPr>
          <w:p w14:paraId="25B1993A"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37%</w:t>
            </w:r>
          </w:p>
        </w:tc>
        <w:tc>
          <w:tcPr>
            <w:tcW w:w="247" w:type="dxa"/>
            <w:tcBorders>
              <w:top w:val="nil"/>
              <w:left w:val="nil"/>
              <w:bottom w:val="single" w:sz="4" w:space="0" w:color="auto"/>
              <w:right w:val="single" w:sz="4" w:space="0" w:color="auto"/>
            </w:tcBorders>
            <w:shd w:val="clear" w:color="auto" w:fill="auto"/>
            <w:noWrap/>
            <w:vAlign w:val="bottom"/>
            <w:hideMark/>
          </w:tcPr>
          <w:p w14:paraId="295003E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-20%</w:t>
            </w:r>
          </w:p>
        </w:tc>
      </w:tr>
      <w:tr w:rsidR="00D546A1" w:rsidRPr="00D546A1" w14:paraId="419C0C6F"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E44ECB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14</w:t>
            </w:r>
          </w:p>
        </w:tc>
        <w:tc>
          <w:tcPr>
            <w:tcW w:w="1960" w:type="dxa"/>
            <w:tcBorders>
              <w:top w:val="nil"/>
              <w:left w:val="nil"/>
              <w:bottom w:val="single" w:sz="4" w:space="0" w:color="auto"/>
              <w:right w:val="single" w:sz="4" w:space="0" w:color="auto"/>
            </w:tcBorders>
            <w:shd w:val="clear" w:color="auto" w:fill="auto"/>
            <w:noWrap/>
            <w:vAlign w:val="bottom"/>
            <w:hideMark/>
          </w:tcPr>
          <w:p w14:paraId="2539B76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w:t>
            </w:r>
          </w:p>
        </w:tc>
        <w:tc>
          <w:tcPr>
            <w:tcW w:w="1998" w:type="dxa"/>
            <w:tcBorders>
              <w:top w:val="nil"/>
              <w:left w:val="nil"/>
              <w:bottom w:val="single" w:sz="4" w:space="0" w:color="auto"/>
              <w:right w:val="single" w:sz="4" w:space="0" w:color="auto"/>
            </w:tcBorders>
            <w:shd w:val="clear" w:color="auto" w:fill="auto"/>
            <w:noWrap/>
            <w:vAlign w:val="bottom"/>
            <w:hideMark/>
          </w:tcPr>
          <w:p w14:paraId="323D56CA"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-17%</w:t>
            </w:r>
          </w:p>
        </w:tc>
        <w:tc>
          <w:tcPr>
            <w:tcW w:w="247" w:type="dxa"/>
            <w:tcBorders>
              <w:top w:val="nil"/>
              <w:left w:val="nil"/>
              <w:bottom w:val="single" w:sz="4" w:space="0" w:color="auto"/>
              <w:right w:val="single" w:sz="4" w:space="0" w:color="auto"/>
            </w:tcBorders>
            <w:shd w:val="clear" w:color="auto" w:fill="auto"/>
            <w:noWrap/>
            <w:vAlign w:val="bottom"/>
            <w:hideMark/>
          </w:tcPr>
          <w:p w14:paraId="76374697"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-48%</w:t>
            </w:r>
          </w:p>
        </w:tc>
      </w:tr>
      <w:tr w:rsidR="00D546A1" w:rsidRPr="00D546A1" w14:paraId="5B1BC42A"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A95E8A6"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15</w:t>
            </w:r>
          </w:p>
        </w:tc>
        <w:tc>
          <w:tcPr>
            <w:tcW w:w="1960" w:type="dxa"/>
            <w:tcBorders>
              <w:top w:val="nil"/>
              <w:left w:val="nil"/>
              <w:bottom w:val="single" w:sz="4" w:space="0" w:color="auto"/>
              <w:right w:val="single" w:sz="4" w:space="0" w:color="auto"/>
            </w:tcBorders>
            <w:shd w:val="clear" w:color="auto" w:fill="auto"/>
            <w:noWrap/>
            <w:vAlign w:val="bottom"/>
            <w:hideMark/>
          </w:tcPr>
          <w:p w14:paraId="040AF87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28</w:t>
            </w:r>
          </w:p>
        </w:tc>
        <w:tc>
          <w:tcPr>
            <w:tcW w:w="1998" w:type="dxa"/>
            <w:tcBorders>
              <w:top w:val="nil"/>
              <w:left w:val="nil"/>
              <w:bottom w:val="single" w:sz="4" w:space="0" w:color="auto"/>
              <w:right w:val="single" w:sz="4" w:space="0" w:color="auto"/>
            </w:tcBorders>
            <w:shd w:val="clear" w:color="auto" w:fill="auto"/>
            <w:noWrap/>
            <w:vAlign w:val="bottom"/>
            <w:hideMark/>
          </w:tcPr>
          <w:p w14:paraId="33EB47CC"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88%</w:t>
            </w:r>
          </w:p>
        </w:tc>
        <w:tc>
          <w:tcPr>
            <w:tcW w:w="247" w:type="dxa"/>
            <w:tcBorders>
              <w:top w:val="nil"/>
              <w:left w:val="nil"/>
              <w:bottom w:val="single" w:sz="4" w:space="0" w:color="auto"/>
              <w:right w:val="single" w:sz="4" w:space="0" w:color="auto"/>
            </w:tcBorders>
            <w:shd w:val="clear" w:color="auto" w:fill="auto"/>
            <w:noWrap/>
            <w:vAlign w:val="bottom"/>
            <w:hideMark/>
          </w:tcPr>
          <w:p w14:paraId="642E3107"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-13%</w:t>
            </w:r>
          </w:p>
        </w:tc>
      </w:tr>
      <w:tr w:rsidR="00D546A1" w:rsidRPr="00D546A1" w14:paraId="35D389C6"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3416B4E"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lastRenderedPageBreak/>
              <w:t>16</w:t>
            </w:r>
          </w:p>
        </w:tc>
        <w:tc>
          <w:tcPr>
            <w:tcW w:w="1960" w:type="dxa"/>
            <w:tcBorders>
              <w:top w:val="nil"/>
              <w:left w:val="nil"/>
              <w:bottom w:val="single" w:sz="4" w:space="0" w:color="auto"/>
              <w:right w:val="single" w:sz="4" w:space="0" w:color="auto"/>
            </w:tcBorders>
            <w:shd w:val="clear" w:color="auto" w:fill="auto"/>
            <w:noWrap/>
            <w:vAlign w:val="bottom"/>
            <w:hideMark/>
          </w:tcPr>
          <w:p w14:paraId="0FBE665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w:t>
            </w:r>
          </w:p>
        </w:tc>
        <w:tc>
          <w:tcPr>
            <w:tcW w:w="1998" w:type="dxa"/>
            <w:tcBorders>
              <w:top w:val="nil"/>
              <w:left w:val="nil"/>
              <w:bottom w:val="single" w:sz="4" w:space="0" w:color="auto"/>
              <w:right w:val="single" w:sz="4" w:space="0" w:color="auto"/>
            </w:tcBorders>
            <w:shd w:val="clear" w:color="auto" w:fill="auto"/>
            <w:noWrap/>
            <w:vAlign w:val="bottom"/>
            <w:hideMark/>
          </w:tcPr>
          <w:p w14:paraId="166879F0"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-20%</w:t>
            </w:r>
          </w:p>
        </w:tc>
        <w:tc>
          <w:tcPr>
            <w:tcW w:w="247" w:type="dxa"/>
            <w:tcBorders>
              <w:top w:val="nil"/>
              <w:left w:val="nil"/>
              <w:bottom w:val="single" w:sz="4" w:space="0" w:color="auto"/>
              <w:right w:val="single" w:sz="4" w:space="0" w:color="auto"/>
            </w:tcBorders>
            <w:shd w:val="clear" w:color="auto" w:fill="auto"/>
            <w:noWrap/>
            <w:vAlign w:val="bottom"/>
            <w:hideMark/>
          </w:tcPr>
          <w:p w14:paraId="411AA25C"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-30%</w:t>
            </w:r>
          </w:p>
        </w:tc>
      </w:tr>
      <w:tr w:rsidR="00D546A1" w:rsidRPr="00D546A1" w14:paraId="6366A547"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F594F6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17</w:t>
            </w:r>
          </w:p>
        </w:tc>
        <w:tc>
          <w:tcPr>
            <w:tcW w:w="1960" w:type="dxa"/>
            <w:tcBorders>
              <w:top w:val="nil"/>
              <w:left w:val="nil"/>
              <w:bottom w:val="single" w:sz="4" w:space="0" w:color="auto"/>
              <w:right w:val="single" w:sz="4" w:space="0" w:color="auto"/>
            </w:tcBorders>
            <w:shd w:val="clear" w:color="auto" w:fill="auto"/>
            <w:noWrap/>
            <w:vAlign w:val="bottom"/>
            <w:hideMark/>
          </w:tcPr>
          <w:p w14:paraId="7048713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w:t>
            </w:r>
          </w:p>
        </w:tc>
        <w:tc>
          <w:tcPr>
            <w:tcW w:w="1998" w:type="dxa"/>
            <w:tcBorders>
              <w:top w:val="nil"/>
              <w:left w:val="nil"/>
              <w:bottom w:val="single" w:sz="4" w:space="0" w:color="auto"/>
              <w:right w:val="single" w:sz="4" w:space="0" w:color="auto"/>
            </w:tcBorders>
            <w:shd w:val="clear" w:color="auto" w:fill="auto"/>
            <w:noWrap/>
            <w:vAlign w:val="bottom"/>
            <w:hideMark/>
          </w:tcPr>
          <w:p w14:paraId="262C57C6"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-23%</w:t>
            </w:r>
          </w:p>
        </w:tc>
        <w:tc>
          <w:tcPr>
            <w:tcW w:w="247" w:type="dxa"/>
            <w:tcBorders>
              <w:top w:val="nil"/>
              <w:left w:val="nil"/>
              <w:bottom w:val="single" w:sz="4" w:space="0" w:color="auto"/>
              <w:right w:val="single" w:sz="4" w:space="0" w:color="auto"/>
            </w:tcBorders>
            <w:shd w:val="clear" w:color="auto" w:fill="auto"/>
            <w:noWrap/>
            <w:vAlign w:val="bottom"/>
            <w:hideMark/>
          </w:tcPr>
          <w:p w14:paraId="0E300619"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w:t>
            </w:r>
          </w:p>
        </w:tc>
      </w:tr>
      <w:tr w:rsidR="00D546A1" w:rsidRPr="00D546A1" w14:paraId="02A41480"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3DF777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18</w:t>
            </w:r>
          </w:p>
        </w:tc>
        <w:tc>
          <w:tcPr>
            <w:tcW w:w="1960" w:type="dxa"/>
            <w:tcBorders>
              <w:top w:val="nil"/>
              <w:left w:val="nil"/>
              <w:bottom w:val="single" w:sz="4" w:space="0" w:color="auto"/>
              <w:right w:val="single" w:sz="4" w:space="0" w:color="auto"/>
            </w:tcBorders>
            <w:shd w:val="clear" w:color="auto" w:fill="auto"/>
            <w:noWrap/>
            <w:vAlign w:val="bottom"/>
            <w:hideMark/>
          </w:tcPr>
          <w:p w14:paraId="5EF73F4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w:t>
            </w:r>
          </w:p>
        </w:tc>
        <w:tc>
          <w:tcPr>
            <w:tcW w:w="1998" w:type="dxa"/>
            <w:tcBorders>
              <w:top w:val="nil"/>
              <w:left w:val="nil"/>
              <w:bottom w:val="single" w:sz="4" w:space="0" w:color="auto"/>
              <w:right w:val="single" w:sz="4" w:space="0" w:color="auto"/>
            </w:tcBorders>
            <w:shd w:val="clear" w:color="auto" w:fill="auto"/>
            <w:noWrap/>
            <w:vAlign w:val="bottom"/>
            <w:hideMark/>
          </w:tcPr>
          <w:p w14:paraId="4E42D32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400%</w:t>
            </w:r>
          </w:p>
        </w:tc>
        <w:tc>
          <w:tcPr>
            <w:tcW w:w="247" w:type="dxa"/>
            <w:tcBorders>
              <w:top w:val="nil"/>
              <w:left w:val="nil"/>
              <w:bottom w:val="single" w:sz="4" w:space="0" w:color="auto"/>
              <w:right w:val="single" w:sz="4" w:space="0" w:color="auto"/>
            </w:tcBorders>
            <w:shd w:val="clear" w:color="auto" w:fill="auto"/>
            <w:noWrap/>
            <w:vAlign w:val="bottom"/>
            <w:hideMark/>
          </w:tcPr>
          <w:p w14:paraId="74ABECB0"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-80%</w:t>
            </w:r>
          </w:p>
        </w:tc>
      </w:tr>
      <w:tr w:rsidR="00D546A1" w:rsidRPr="00D546A1" w14:paraId="73060791"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BB33004"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19</w:t>
            </w:r>
          </w:p>
        </w:tc>
        <w:tc>
          <w:tcPr>
            <w:tcW w:w="1960" w:type="dxa"/>
            <w:tcBorders>
              <w:top w:val="nil"/>
              <w:left w:val="nil"/>
              <w:bottom w:val="single" w:sz="4" w:space="0" w:color="auto"/>
              <w:right w:val="single" w:sz="4" w:space="0" w:color="auto"/>
            </w:tcBorders>
            <w:shd w:val="clear" w:color="auto" w:fill="auto"/>
            <w:noWrap/>
            <w:vAlign w:val="bottom"/>
            <w:hideMark/>
          </w:tcPr>
          <w:p w14:paraId="5445E82A"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w:t>
            </w:r>
          </w:p>
        </w:tc>
        <w:tc>
          <w:tcPr>
            <w:tcW w:w="1998" w:type="dxa"/>
            <w:tcBorders>
              <w:top w:val="nil"/>
              <w:left w:val="nil"/>
              <w:bottom w:val="single" w:sz="4" w:space="0" w:color="auto"/>
              <w:right w:val="single" w:sz="4" w:space="0" w:color="auto"/>
            </w:tcBorders>
            <w:shd w:val="clear" w:color="auto" w:fill="auto"/>
            <w:noWrap/>
            <w:vAlign w:val="bottom"/>
            <w:hideMark/>
          </w:tcPr>
          <w:p w14:paraId="18E8749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-11%</w:t>
            </w:r>
          </w:p>
        </w:tc>
        <w:tc>
          <w:tcPr>
            <w:tcW w:w="247" w:type="dxa"/>
            <w:tcBorders>
              <w:top w:val="nil"/>
              <w:left w:val="nil"/>
              <w:bottom w:val="single" w:sz="4" w:space="0" w:color="auto"/>
              <w:right w:val="single" w:sz="4" w:space="0" w:color="auto"/>
            </w:tcBorders>
            <w:shd w:val="clear" w:color="auto" w:fill="auto"/>
            <w:noWrap/>
            <w:vAlign w:val="bottom"/>
            <w:hideMark/>
          </w:tcPr>
          <w:p w14:paraId="28CD9CD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-19%</w:t>
            </w:r>
          </w:p>
        </w:tc>
      </w:tr>
      <w:tr w:rsidR="00D546A1" w:rsidRPr="00D546A1" w14:paraId="7E4B63C3"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95D395D"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186E900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-4</w:t>
            </w:r>
          </w:p>
        </w:tc>
        <w:tc>
          <w:tcPr>
            <w:tcW w:w="1998" w:type="dxa"/>
            <w:tcBorders>
              <w:top w:val="nil"/>
              <w:left w:val="nil"/>
              <w:bottom w:val="single" w:sz="4" w:space="0" w:color="auto"/>
              <w:right w:val="single" w:sz="4" w:space="0" w:color="auto"/>
            </w:tcBorders>
            <w:shd w:val="clear" w:color="auto" w:fill="auto"/>
            <w:noWrap/>
            <w:vAlign w:val="bottom"/>
            <w:hideMark/>
          </w:tcPr>
          <w:p w14:paraId="649773C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-57%</w:t>
            </w:r>
          </w:p>
        </w:tc>
        <w:tc>
          <w:tcPr>
            <w:tcW w:w="247" w:type="dxa"/>
            <w:tcBorders>
              <w:top w:val="nil"/>
              <w:left w:val="nil"/>
              <w:bottom w:val="single" w:sz="4" w:space="0" w:color="auto"/>
              <w:right w:val="single" w:sz="4" w:space="0" w:color="auto"/>
            </w:tcBorders>
            <w:shd w:val="clear" w:color="auto" w:fill="auto"/>
            <w:noWrap/>
            <w:vAlign w:val="bottom"/>
            <w:hideMark/>
          </w:tcPr>
          <w:p w14:paraId="21420F2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-57%</w:t>
            </w:r>
          </w:p>
        </w:tc>
      </w:tr>
      <w:tr w:rsidR="00D546A1" w:rsidRPr="00D546A1" w14:paraId="0381B818"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D3F3CEE"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22</w:t>
            </w:r>
          </w:p>
        </w:tc>
        <w:tc>
          <w:tcPr>
            <w:tcW w:w="1960" w:type="dxa"/>
            <w:tcBorders>
              <w:top w:val="nil"/>
              <w:left w:val="nil"/>
              <w:bottom w:val="single" w:sz="4" w:space="0" w:color="auto"/>
              <w:right w:val="single" w:sz="4" w:space="0" w:color="auto"/>
            </w:tcBorders>
            <w:shd w:val="clear" w:color="auto" w:fill="auto"/>
            <w:noWrap/>
            <w:vAlign w:val="bottom"/>
            <w:hideMark/>
          </w:tcPr>
          <w:p w14:paraId="6E11517F"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w:t>
            </w:r>
          </w:p>
        </w:tc>
        <w:tc>
          <w:tcPr>
            <w:tcW w:w="1998" w:type="dxa"/>
            <w:tcBorders>
              <w:top w:val="nil"/>
              <w:left w:val="nil"/>
              <w:bottom w:val="single" w:sz="4" w:space="0" w:color="auto"/>
              <w:right w:val="single" w:sz="4" w:space="0" w:color="auto"/>
            </w:tcBorders>
            <w:shd w:val="clear" w:color="auto" w:fill="auto"/>
            <w:noWrap/>
            <w:vAlign w:val="bottom"/>
            <w:hideMark/>
          </w:tcPr>
          <w:p w14:paraId="29706994"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14%</w:t>
            </w:r>
          </w:p>
        </w:tc>
        <w:tc>
          <w:tcPr>
            <w:tcW w:w="247" w:type="dxa"/>
            <w:tcBorders>
              <w:top w:val="nil"/>
              <w:left w:val="nil"/>
              <w:bottom w:val="single" w:sz="4" w:space="0" w:color="auto"/>
              <w:right w:val="single" w:sz="4" w:space="0" w:color="auto"/>
            </w:tcBorders>
            <w:shd w:val="clear" w:color="auto" w:fill="auto"/>
            <w:noWrap/>
            <w:vAlign w:val="bottom"/>
            <w:hideMark/>
          </w:tcPr>
          <w:p w14:paraId="588F10BB"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-33%</w:t>
            </w:r>
          </w:p>
        </w:tc>
      </w:tr>
      <w:tr w:rsidR="00D546A1" w:rsidRPr="00D546A1" w14:paraId="7C6C19EC"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802240"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24</w:t>
            </w:r>
          </w:p>
        </w:tc>
        <w:tc>
          <w:tcPr>
            <w:tcW w:w="1960" w:type="dxa"/>
            <w:tcBorders>
              <w:top w:val="nil"/>
              <w:left w:val="nil"/>
              <w:bottom w:val="single" w:sz="4" w:space="0" w:color="auto"/>
              <w:right w:val="single" w:sz="4" w:space="0" w:color="auto"/>
            </w:tcBorders>
            <w:shd w:val="clear" w:color="auto" w:fill="auto"/>
            <w:noWrap/>
            <w:vAlign w:val="bottom"/>
            <w:hideMark/>
          </w:tcPr>
          <w:p w14:paraId="28AEA733"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w:t>
            </w:r>
          </w:p>
        </w:tc>
        <w:tc>
          <w:tcPr>
            <w:tcW w:w="1998" w:type="dxa"/>
            <w:tcBorders>
              <w:top w:val="nil"/>
              <w:left w:val="nil"/>
              <w:bottom w:val="single" w:sz="4" w:space="0" w:color="auto"/>
              <w:right w:val="single" w:sz="4" w:space="0" w:color="auto"/>
            </w:tcBorders>
            <w:shd w:val="clear" w:color="auto" w:fill="auto"/>
            <w:noWrap/>
            <w:vAlign w:val="bottom"/>
            <w:hideMark/>
          </w:tcPr>
          <w:p w14:paraId="4F5120F9"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20%</w:t>
            </w:r>
          </w:p>
        </w:tc>
        <w:tc>
          <w:tcPr>
            <w:tcW w:w="247" w:type="dxa"/>
            <w:tcBorders>
              <w:top w:val="nil"/>
              <w:left w:val="nil"/>
              <w:bottom w:val="single" w:sz="4" w:space="0" w:color="auto"/>
              <w:right w:val="single" w:sz="4" w:space="0" w:color="auto"/>
            </w:tcBorders>
            <w:shd w:val="clear" w:color="auto" w:fill="auto"/>
            <w:noWrap/>
            <w:vAlign w:val="bottom"/>
            <w:hideMark/>
          </w:tcPr>
          <w:p w14:paraId="766ADB4D"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-17%</w:t>
            </w:r>
          </w:p>
        </w:tc>
      </w:tr>
      <w:tr w:rsidR="00D546A1" w:rsidRPr="00D546A1" w14:paraId="576E144D" w14:textId="77777777" w:rsidTr="00D546A1">
        <w:trPr>
          <w:trHeight w:val="3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2B63CD"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25</w:t>
            </w:r>
          </w:p>
        </w:tc>
        <w:tc>
          <w:tcPr>
            <w:tcW w:w="1960" w:type="dxa"/>
            <w:tcBorders>
              <w:top w:val="nil"/>
              <w:left w:val="nil"/>
              <w:bottom w:val="single" w:sz="4" w:space="0" w:color="auto"/>
              <w:right w:val="single" w:sz="4" w:space="0" w:color="auto"/>
            </w:tcBorders>
            <w:shd w:val="clear" w:color="auto" w:fill="auto"/>
            <w:noWrap/>
            <w:vAlign w:val="bottom"/>
            <w:hideMark/>
          </w:tcPr>
          <w:p w14:paraId="4DA08D0F"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5</w:t>
            </w:r>
          </w:p>
        </w:tc>
        <w:tc>
          <w:tcPr>
            <w:tcW w:w="1998" w:type="dxa"/>
            <w:tcBorders>
              <w:top w:val="nil"/>
              <w:left w:val="nil"/>
              <w:bottom w:val="single" w:sz="4" w:space="0" w:color="auto"/>
              <w:right w:val="single" w:sz="4" w:space="0" w:color="auto"/>
            </w:tcBorders>
            <w:shd w:val="clear" w:color="auto" w:fill="auto"/>
            <w:noWrap/>
            <w:vAlign w:val="bottom"/>
            <w:hideMark/>
          </w:tcPr>
          <w:p w14:paraId="23504D45"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15%</w:t>
            </w:r>
          </w:p>
        </w:tc>
        <w:tc>
          <w:tcPr>
            <w:tcW w:w="247" w:type="dxa"/>
            <w:tcBorders>
              <w:top w:val="nil"/>
              <w:left w:val="nil"/>
              <w:bottom w:val="single" w:sz="4" w:space="0" w:color="auto"/>
              <w:right w:val="single" w:sz="4" w:space="0" w:color="auto"/>
            </w:tcBorders>
            <w:shd w:val="clear" w:color="auto" w:fill="auto"/>
            <w:noWrap/>
            <w:vAlign w:val="bottom"/>
            <w:hideMark/>
          </w:tcPr>
          <w:p w14:paraId="5AB11B38" w14:textId="77777777" w:rsidR="00D546A1" w:rsidRPr="00D546A1" w:rsidRDefault="00D546A1" w:rsidP="00D546A1">
            <w:pPr>
              <w:jc w:val="center"/>
              <w:rPr>
                <w:rFonts w:ascii="Agency FB" w:hAnsi="Agency FB" w:cs="Calibri"/>
                <w:color w:val="000000"/>
                <w:szCs w:val="24"/>
                <w:lang w:eastAsia="en-US"/>
              </w:rPr>
            </w:pPr>
            <w:r w:rsidRPr="00D546A1">
              <w:rPr>
                <w:rFonts w:ascii="Agency FB" w:hAnsi="Agency FB" w:cs="Calibri"/>
                <w:color w:val="000000"/>
                <w:szCs w:val="24"/>
                <w:lang w:eastAsia="en-US"/>
              </w:rPr>
              <w:t>-7%</w:t>
            </w:r>
          </w:p>
        </w:tc>
      </w:tr>
    </w:tbl>
    <w:p w14:paraId="69FC6E49" w14:textId="77777777" w:rsidR="00BD5CC1" w:rsidRPr="002F3CC6" w:rsidRDefault="00BD5CC1" w:rsidP="00CC3074">
      <w:pPr>
        <w:ind w:left="720"/>
        <w:rPr>
          <w:color w:val="4F81BD" w:themeColor="accent1"/>
        </w:rPr>
      </w:pPr>
    </w:p>
    <w:p w14:paraId="4ED89565" w14:textId="426DEB1E" w:rsidR="0003227A" w:rsidRDefault="00BD5CC1" w:rsidP="0003227A">
      <w:pPr>
        <w:ind w:left="360"/>
        <w:rPr>
          <w:color w:val="4F81BD" w:themeColor="accent1"/>
        </w:rPr>
      </w:pPr>
      <w:r w:rsidRPr="002F3CC6">
        <w:rPr>
          <w:color w:val="4F81BD" w:themeColor="accent1"/>
        </w:rPr>
        <w:t>% Incr in Homicide is calculated as increase in homicide from 2015 to 2016.</w:t>
      </w:r>
    </w:p>
    <w:p w14:paraId="0DE1A349" w14:textId="77777777" w:rsidR="00415F0E" w:rsidRPr="002F3CC6" w:rsidRDefault="00415F0E" w:rsidP="0003227A">
      <w:pPr>
        <w:ind w:left="360"/>
        <w:rPr>
          <w:color w:val="4F81BD" w:themeColor="accent1"/>
        </w:rPr>
      </w:pPr>
    </w:p>
    <w:p w14:paraId="71435D1D" w14:textId="2441E2A4" w:rsidR="00BD5CC1" w:rsidRDefault="00BD5CC1" w:rsidP="0003227A">
      <w:pPr>
        <w:ind w:left="360"/>
        <w:rPr>
          <w:color w:val="4F81BD" w:themeColor="accent1"/>
        </w:rPr>
      </w:pPr>
      <w:r w:rsidRPr="002F3CC6">
        <w:rPr>
          <w:color w:val="4F81BD" w:themeColor="accent1"/>
        </w:rPr>
        <w:t>Decline in Arrest</w:t>
      </w:r>
      <w:r w:rsidR="000E174A" w:rsidRPr="002F3CC6">
        <w:rPr>
          <w:color w:val="4F81BD" w:themeColor="accent1"/>
        </w:rPr>
        <w:t xml:space="preserve"> is defined by the number of arrests over the number of homicides.</w:t>
      </w:r>
    </w:p>
    <w:p w14:paraId="0EA06D1F" w14:textId="77777777" w:rsidR="00415F0E" w:rsidRPr="002F3CC6" w:rsidRDefault="00415F0E" w:rsidP="0003227A">
      <w:pPr>
        <w:ind w:left="360"/>
        <w:rPr>
          <w:color w:val="4F81BD" w:themeColor="accent1"/>
        </w:rPr>
      </w:pPr>
    </w:p>
    <w:p w14:paraId="4508DA5E" w14:textId="0F730684" w:rsidR="000E174A" w:rsidRPr="002F3CC6" w:rsidRDefault="000E174A" w:rsidP="0003227A">
      <w:pPr>
        <w:ind w:left="360"/>
        <w:rPr>
          <w:color w:val="4F81BD" w:themeColor="accent1"/>
        </w:rPr>
      </w:pPr>
      <w:r w:rsidRPr="002F3CC6">
        <w:rPr>
          <w:color w:val="4F81BD" w:themeColor="accent1"/>
        </w:rPr>
        <w:t>Clearly Districts</w:t>
      </w:r>
      <w:r w:rsidRPr="002F3CC6">
        <w:rPr>
          <w:b/>
          <w:color w:val="4F81BD" w:themeColor="accent1"/>
        </w:rPr>
        <w:t xml:space="preserve"> </w:t>
      </w:r>
      <w:r w:rsidR="00D546A1" w:rsidRPr="002F3CC6">
        <w:rPr>
          <w:b/>
          <w:color w:val="4F81BD" w:themeColor="accent1"/>
        </w:rPr>
        <w:t>7</w:t>
      </w:r>
      <w:r w:rsidRPr="002F3CC6">
        <w:rPr>
          <w:b/>
          <w:color w:val="4F81BD" w:themeColor="accent1"/>
        </w:rPr>
        <w:t>,</w:t>
      </w:r>
      <w:r w:rsidR="00D546A1" w:rsidRPr="002F3CC6">
        <w:rPr>
          <w:b/>
          <w:color w:val="4F81BD" w:themeColor="accent1"/>
        </w:rPr>
        <w:t xml:space="preserve">8 </w:t>
      </w:r>
      <w:r w:rsidRPr="002F3CC6">
        <w:rPr>
          <w:color w:val="4F81BD" w:themeColor="accent1"/>
        </w:rPr>
        <w:t xml:space="preserve">and </w:t>
      </w:r>
      <w:r w:rsidRPr="002F3CC6">
        <w:rPr>
          <w:b/>
          <w:color w:val="4F81BD" w:themeColor="accent1"/>
        </w:rPr>
        <w:t>1</w:t>
      </w:r>
      <w:r w:rsidR="00D546A1" w:rsidRPr="002F3CC6">
        <w:rPr>
          <w:b/>
          <w:color w:val="4F81BD" w:themeColor="accent1"/>
        </w:rPr>
        <w:t>1</w:t>
      </w:r>
      <w:r w:rsidRPr="002F3CC6">
        <w:rPr>
          <w:color w:val="4F81BD" w:themeColor="accent1"/>
        </w:rPr>
        <w:t xml:space="preserve"> have experienced maximum increase in homicides at the same time the arrest rate has suffered a decline.</w:t>
      </w:r>
      <w:r w:rsidR="00D546A1" w:rsidRPr="002F3CC6">
        <w:rPr>
          <w:color w:val="4F81BD" w:themeColor="accent1"/>
        </w:rPr>
        <w:t xml:space="preserve"> Although</w:t>
      </w:r>
      <w:r w:rsidR="00415F0E">
        <w:rPr>
          <w:color w:val="4F81BD" w:themeColor="accent1"/>
        </w:rPr>
        <w:t xml:space="preserve"> b</w:t>
      </w:r>
      <w:r w:rsidR="00D546A1" w:rsidRPr="002F3CC6">
        <w:rPr>
          <w:color w:val="4F81BD" w:themeColor="accent1"/>
        </w:rPr>
        <w:t xml:space="preserve">etween district 8 &amp; 9 </w:t>
      </w:r>
      <w:r w:rsidR="00415F0E">
        <w:rPr>
          <w:color w:val="4F81BD" w:themeColor="accent1"/>
        </w:rPr>
        <w:t>parameters draw q</w:t>
      </w:r>
      <w:r w:rsidR="00D546A1" w:rsidRPr="002F3CC6">
        <w:rPr>
          <w:color w:val="4F81BD" w:themeColor="accent1"/>
        </w:rPr>
        <w:t xml:space="preserve">uite close </w:t>
      </w:r>
      <w:r w:rsidR="00415F0E">
        <w:rPr>
          <w:color w:val="4F81BD" w:themeColor="accent1"/>
        </w:rPr>
        <w:t xml:space="preserve">in </w:t>
      </w:r>
      <w:r w:rsidR="00D546A1" w:rsidRPr="002F3CC6">
        <w:rPr>
          <w:color w:val="4F81BD" w:themeColor="accent1"/>
        </w:rPr>
        <w:t>but district 8 has a greater decline in arrest rates.</w:t>
      </w:r>
    </w:p>
    <w:p w14:paraId="75FD8802" w14:textId="77777777" w:rsidR="00D546A1" w:rsidRPr="003E5DEF" w:rsidRDefault="00D546A1" w:rsidP="0003227A">
      <w:pPr>
        <w:ind w:left="360"/>
        <w:rPr>
          <w:color w:val="92D050"/>
        </w:rPr>
      </w:pPr>
    </w:p>
    <w:p w14:paraId="67E9099F" w14:textId="5D5D79B6" w:rsidR="000E174A" w:rsidRDefault="003E5DEF" w:rsidP="0003227A">
      <w:pPr>
        <w:ind w:left="360"/>
      </w:pPr>
      <w:r>
        <w:rPr>
          <w:noProof/>
        </w:rPr>
        <w:drawing>
          <wp:inline distT="0" distB="0" distL="0" distR="0" wp14:anchorId="66131375" wp14:editId="66CE991D">
            <wp:extent cx="5669280" cy="4023360"/>
            <wp:effectExtent l="0" t="0" r="7620" b="0"/>
            <wp:docPr id="4" name="Chart 4">
              <a:extLst xmlns:a="http://schemas.openxmlformats.org/drawingml/2006/main">
                <a:ext uri="{FF2B5EF4-FFF2-40B4-BE49-F238E27FC236}">
                  <a16:creationId xmlns:a16="http://schemas.microsoft.com/office/drawing/2014/main" id="{2A170333-F23B-4CBC-B2F3-EA05FD29C0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3523D6" w14:textId="77777777" w:rsidR="000E174A" w:rsidRDefault="000E174A" w:rsidP="0003227A">
      <w:pPr>
        <w:ind w:left="360"/>
      </w:pPr>
    </w:p>
    <w:p w14:paraId="65E811B1" w14:textId="61873279" w:rsidR="00B00021" w:rsidRDefault="0003227A" w:rsidP="00B57578">
      <w:pPr>
        <w:numPr>
          <w:ilvl w:val="1"/>
          <w:numId w:val="2"/>
        </w:numPr>
      </w:pPr>
      <w:r>
        <w:t xml:space="preserve">Assume that the Chicago Police Department also experiences resource constraints and it cannot add any more detectives. Instead, it plans to </w:t>
      </w:r>
      <w:r w:rsidR="00082A48">
        <w:t xml:space="preserve">those districts with resource issues as </w:t>
      </w:r>
      <w:r w:rsidR="001D0132">
        <w:t>identified in b</w:t>
      </w:r>
      <w:r>
        <w:t>)</w:t>
      </w:r>
      <w:r w:rsidR="00082A48">
        <w:t xml:space="preserve"> to share detectives with another adjacent district</w:t>
      </w:r>
      <w:r>
        <w:t>. This type of sharing should be 1:1 relationship. (For example, District 19 and District 20 are adjacent. If Distri</w:t>
      </w:r>
      <w:r w:rsidR="001D0132">
        <w:t xml:space="preserve">ct 19 were to be identified in </w:t>
      </w:r>
      <w:r w:rsidR="00BD01AA">
        <w:t>a</w:t>
      </w:r>
      <w:r>
        <w:t xml:space="preserve">) and District 20 was not, </w:t>
      </w:r>
      <w:r>
        <w:lastRenderedPageBreak/>
        <w:t>then these two districts could share detectives. At the same time, District 20 could not share its resource with another district, and District 19 would not pull help from any other district.)</w:t>
      </w:r>
      <w:r w:rsidR="00A538AB">
        <w:t xml:space="preserve"> How would you prop</w:t>
      </w:r>
      <w:r w:rsidR="001D0132">
        <w:t xml:space="preserve">ose such a pairing solution to </w:t>
      </w:r>
      <w:r w:rsidR="00BD01AA">
        <w:t>a</w:t>
      </w:r>
      <w:r w:rsidR="00A538AB">
        <w:t>)?</w:t>
      </w:r>
      <w:r w:rsidR="00A748F3">
        <w:t xml:space="preserve"> Illustrate this through appropriate visualization.</w:t>
      </w:r>
    </w:p>
    <w:p w14:paraId="58C68F38" w14:textId="02D53119" w:rsidR="007C0DED" w:rsidRDefault="007C0DED" w:rsidP="00F40F65">
      <w:pPr>
        <w:ind w:left="360"/>
      </w:pPr>
    </w:p>
    <w:p w14:paraId="47C95117" w14:textId="18E264E9" w:rsidR="00F40F65" w:rsidRPr="007C1DB3" w:rsidRDefault="00F40F65" w:rsidP="00F40F65">
      <w:pPr>
        <w:ind w:left="360"/>
        <w:rPr>
          <w:color w:val="4F81BD" w:themeColor="accent1"/>
        </w:rPr>
      </w:pPr>
      <w:r w:rsidRPr="007C1DB3">
        <w:rPr>
          <w:color w:val="4F81BD" w:themeColor="accent1"/>
        </w:rPr>
        <w:t xml:space="preserve">Following </w:t>
      </w:r>
      <w:r w:rsidR="004F6134" w:rsidRPr="007C1DB3">
        <w:rPr>
          <w:color w:val="4F81BD" w:themeColor="accent1"/>
        </w:rPr>
        <w:t xml:space="preserve">image </w:t>
      </w:r>
      <w:r w:rsidRPr="007C1DB3">
        <w:rPr>
          <w:color w:val="4F81BD" w:themeColor="accent1"/>
        </w:rPr>
        <w:t>depicts the neighboring districts</w:t>
      </w:r>
      <w:r w:rsidR="004F6134" w:rsidRPr="007C1DB3">
        <w:rPr>
          <w:color w:val="4F81BD" w:themeColor="accent1"/>
        </w:rPr>
        <w:t>:</w:t>
      </w:r>
    </w:p>
    <w:p w14:paraId="40460BD2" w14:textId="77777777" w:rsidR="004F6134" w:rsidRDefault="004F6134" w:rsidP="00F40F65">
      <w:pPr>
        <w:ind w:left="360"/>
      </w:pPr>
    </w:p>
    <w:p w14:paraId="3E3BE52A" w14:textId="6CAFC022" w:rsidR="004F6134" w:rsidRDefault="004F6134" w:rsidP="00F40F65">
      <w:pPr>
        <w:ind w:left="360"/>
      </w:pPr>
      <w:r>
        <w:rPr>
          <w:noProof/>
        </w:rPr>
        <w:drawing>
          <wp:inline distT="0" distB="0" distL="0" distR="0" wp14:anchorId="2D6AC30D" wp14:editId="196A2A38">
            <wp:extent cx="3863340" cy="3675092"/>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855" cy="3698412"/>
                    </a:xfrm>
                    <a:prstGeom prst="rect">
                      <a:avLst/>
                    </a:prstGeom>
                  </pic:spPr>
                </pic:pic>
              </a:graphicData>
            </a:graphic>
          </wp:inline>
        </w:drawing>
      </w:r>
    </w:p>
    <w:p w14:paraId="0747ECE8" w14:textId="77777777" w:rsidR="004F6134" w:rsidRDefault="004F6134" w:rsidP="00F40F65">
      <w:pPr>
        <w:ind w:left="360"/>
        <w:rPr>
          <w:color w:val="4F81BD" w:themeColor="accent1"/>
        </w:rPr>
      </w:pPr>
    </w:p>
    <w:p w14:paraId="1398FCED" w14:textId="2B188996" w:rsidR="00415F0E" w:rsidRPr="009E152A" w:rsidRDefault="00415F0E" w:rsidP="00415F0E">
      <w:pPr>
        <w:ind w:left="360"/>
        <w:rPr>
          <w:color w:val="4F81BD" w:themeColor="accent1"/>
        </w:rPr>
      </w:pPr>
      <w:r>
        <w:rPr>
          <w:color w:val="4F81BD" w:themeColor="accent1"/>
        </w:rPr>
        <w:t>District 7 has districts 8, 9,2, 3</w:t>
      </w:r>
      <w:r w:rsidR="00F65B6F">
        <w:rPr>
          <w:color w:val="4F81BD" w:themeColor="accent1"/>
        </w:rPr>
        <w:t xml:space="preserve"> and </w:t>
      </w:r>
      <w:r>
        <w:rPr>
          <w:color w:val="4F81BD" w:themeColor="accent1"/>
        </w:rPr>
        <w:t>6 adjacent to it. To find an optimal pair, we would look for a district with relatively lower increase in homicide and higher arrest rate which would eventually provide desired support to district 7(in this case district 2).</w:t>
      </w:r>
    </w:p>
    <w:p w14:paraId="6F2BDEC5" w14:textId="77777777" w:rsidR="00415F0E" w:rsidRPr="009E152A" w:rsidRDefault="00415F0E" w:rsidP="00415F0E">
      <w:pPr>
        <w:ind w:left="720"/>
        <w:rPr>
          <w:color w:val="4F81BD" w:themeColor="accent1"/>
        </w:rPr>
      </w:pPr>
    </w:p>
    <w:p w14:paraId="010E2122" w14:textId="77777777" w:rsidR="00415F0E" w:rsidRDefault="00415F0E" w:rsidP="00415F0E">
      <w:pPr>
        <w:ind w:left="360"/>
        <w:rPr>
          <w:color w:val="4F81BD" w:themeColor="accent1"/>
        </w:rPr>
      </w:pPr>
      <w:r w:rsidRPr="009E152A">
        <w:rPr>
          <w:color w:val="4F81BD" w:themeColor="accent1"/>
        </w:rPr>
        <w:t>After careful analysis of the adjacent districts homicide &amp; arrest rates following are the proposed mappings:</w:t>
      </w:r>
    </w:p>
    <w:p w14:paraId="66AD8015" w14:textId="291794D3" w:rsidR="009E152A" w:rsidRDefault="009E152A" w:rsidP="00F40F65">
      <w:pPr>
        <w:ind w:left="720"/>
      </w:pPr>
    </w:p>
    <w:tbl>
      <w:tblPr>
        <w:tblW w:w="8280" w:type="dxa"/>
        <w:tblInd w:w="360" w:type="dxa"/>
        <w:tblLook w:val="04A0" w:firstRow="1" w:lastRow="0" w:firstColumn="1" w:lastColumn="0" w:noHBand="0" w:noVBand="1"/>
      </w:tblPr>
      <w:tblGrid>
        <w:gridCol w:w="837"/>
        <w:gridCol w:w="1755"/>
        <w:gridCol w:w="1548"/>
        <w:gridCol w:w="837"/>
        <w:gridCol w:w="1755"/>
        <w:gridCol w:w="1548"/>
      </w:tblGrid>
      <w:tr w:rsidR="009E152A" w:rsidRPr="00EE1A0A" w14:paraId="6CDC6BD4" w14:textId="77777777" w:rsidTr="00F40F65">
        <w:trPr>
          <w:trHeight w:val="312"/>
        </w:trPr>
        <w:tc>
          <w:tcPr>
            <w:tcW w:w="4140" w:type="dxa"/>
            <w:gridSpan w:val="3"/>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94F1CEF" w14:textId="77777777" w:rsidR="009E152A" w:rsidRPr="00EE1A0A" w:rsidRDefault="009E152A" w:rsidP="00F7595B">
            <w:pPr>
              <w:jc w:val="center"/>
              <w:rPr>
                <w:rFonts w:ascii="Arial Narrow" w:hAnsi="Arial Narrow" w:cs="Calibri"/>
                <w:b/>
                <w:bCs/>
                <w:color w:val="FFFFFF"/>
                <w:szCs w:val="24"/>
                <w:lang w:eastAsia="en-US"/>
              </w:rPr>
            </w:pPr>
            <w:r w:rsidRPr="00EE1A0A">
              <w:rPr>
                <w:rFonts w:ascii="Arial Narrow" w:hAnsi="Arial Narrow" w:cs="Calibri"/>
                <w:b/>
                <w:bCs/>
                <w:color w:val="FFFFFF"/>
                <w:szCs w:val="24"/>
                <w:lang w:eastAsia="en-US"/>
              </w:rPr>
              <w:t>High Alert districts identified</w:t>
            </w:r>
          </w:p>
        </w:tc>
        <w:tc>
          <w:tcPr>
            <w:tcW w:w="4140" w:type="dxa"/>
            <w:gridSpan w:val="3"/>
            <w:tcBorders>
              <w:top w:val="single" w:sz="4" w:space="0" w:color="auto"/>
              <w:left w:val="nil"/>
              <w:bottom w:val="single" w:sz="4" w:space="0" w:color="auto"/>
              <w:right w:val="single" w:sz="4" w:space="0" w:color="auto"/>
            </w:tcBorders>
            <w:shd w:val="clear" w:color="000000" w:fill="000000"/>
            <w:noWrap/>
            <w:vAlign w:val="bottom"/>
            <w:hideMark/>
          </w:tcPr>
          <w:p w14:paraId="5B15C2BB" w14:textId="77777777" w:rsidR="009E152A" w:rsidRPr="00EE1A0A" w:rsidRDefault="009E152A" w:rsidP="00F7595B">
            <w:pPr>
              <w:jc w:val="center"/>
              <w:rPr>
                <w:rFonts w:ascii="Arial Narrow" w:hAnsi="Arial Narrow" w:cs="Calibri"/>
                <w:b/>
                <w:bCs/>
                <w:color w:val="FFFFFF"/>
                <w:szCs w:val="24"/>
                <w:lang w:eastAsia="en-US"/>
              </w:rPr>
            </w:pPr>
            <w:r w:rsidRPr="00EE1A0A">
              <w:rPr>
                <w:rFonts w:ascii="Arial Narrow" w:hAnsi="Arial Narrow" w:cs="Calibri"/>
                <w:b/>
                <w:bCs/>
                <w:color w:val="FFFFFF"/>
                <w:szCs w:val="24"/>
                <w:lang w:eastAsia="en-US"/>
              </w:rPr>
              <w:t>Proposed Pair</w:t>
            </w:r>
          </w:p>
        </w:tc>
      </w:tr>
      <w:tr w:rsidR="009E152A" w:rsidRPr="00EE1A0A" w14:paraId="4128FBDC" w14:textId="77777777" w:rsidTr="00F40F65">
        <w:trPr>
          <w:trHeight w:val="312"/>
        </w:trPr>
        <w:tc>
          <w:tcPr>
            <w:tcW w:w="837" w:type="dxa"/>
            <w:tcBorders>
              <w:top w:val="nil"/>
              <w:left w:val="single" w:sz="4" w:space="0" w:color="auto"/>
              <w:bottom w:val="single" w:sz="4" w:space="0" w:color="auto"/>
              <w:right w:val="single" w:sz="4" w:space="0" w:color="auto"/>
            </w:tcBorders>
            <w:shd w:val="clear" w:color="000000" w:fill="D9D9D9"/>
            <w:noWrap/>
            <w:vAlign w:val="center"/>
            <w:hideMark/>
          </w:tcPr>
          <w:p w14:paraId="5F21936F" w14:textId="77777777" w:rsidR="009E152A" w:rsidRPr="00EE1A0A" w:rsidRDefault="009E152A" w:rsidP="00F7595B">
            <w:pPr>
              <w:jc w:val="center"/>
              <w:rPr>
                <w:rFonts w:ascii="Arial Narrow" w:hAnsi="Arial Narrow" w:cs="Calibri"/>
                <w:color w:val="000000"/>
                <w:szCs w:val="24"/>
                <w:lang w:eastAsia="en-US"/>
              </w:rPr>
            </w:pPr>
            <w:r w:rsidRPr="00EE1A0A">
              <w:rPr>
                <w:rFonts w:ascii="Arial Narrow" w:hAnsi="Arial Narrow" w:cs="Calibri"/>
                <w:color w:val="000000"/>
                <w:szCs w:val="24"/>
                <w:lang w:eastAsia="en-US"/>
              </w:rPr>
              <w:t>District #</w:t>
            </w:r>
          </w:p>
        </w:tc>
        <w:tc>
          <w:tcPr>
            <w:tcW w:w="1755" w:type="dxa"/>
            <w:tcBorders>
              <w:top w:val="nil"/>
              <w:left w:val="nil"/>
              <w:bottom w:val="single" w:sz="4" w:space="0" w:color="auto"/>
              <w:right w:val="single" w:sz="4" w:space="0" w:color="auto"/>
            </w:tcBorders>
            <w:shd w:val="clear" w:color="000000" w:fill="D9D9D9"/>
            <w:noWrap/>
            <w:vAlign w:val="center"/>
            <w:hideMark/>
          </w:tcPr>
          <w:p w14:paraId="2621E710" w14:textId="77777777" w:rsidR="009E152A" w:rsidRPr="00EE1A0A" w:rsidRDefault="009E152A" w:rsidP="00F7595B">
            <w:pPr>
              <w:jc w:val="center"/>
              <w:rPr>
                <w:rFonts w:ascii="Arial Narrow" w:hAnsi="Arial Narrow" w:cs="Calibri"/>
                <w:color w:val="000000"/>
                <w:szCs w:val="24"/>
                <w:lang w:eastAsia="en-US"/>
              </w:rPr>
            </w:pPr>
            <w:r w:rsidRPr="00EE1A0A">
              <w:rPr>
                <w:rFonts w:ascii="Arial Narrow" w:hAnsi="Arial Narrow" w:cs="Calibri"/>
                <w:color w:val="000000"/>
                <w:szCs w:val="24"/>
                <w:lang w:eastAsia="en-US"/>
              </w:rPr>
              <w:t xml:space="preserve">% </w:t>
            </w:r>
            <w:proofErr w:type="spellStart"/>
            <w:r w:rsidRPr="00EE1A0A">
              <w:rPr>
                <w:rFonts w:ascii="Arial Narrow" w:hAnsi="Arial Narrow" w:cs="Calibri"/>
                <w:color w:val="000000"/>
                <w:szCs w:val="24"/>
                <w:lang w:eastAsia="en-US"/>
              </w:rPr>
              <w:t>Incr</w:t>
            </w:r>
            <w:proofErr w:type="spellEnd"/>
            <w:r w:rsidRPr="00EE1A0A">
              <w:rPr>
                <w:rFonts w:ascii="Arial Narrow" w:hAnsi="Arial Narrow" w:cs="Calibri"/>
                <w:color w:val="000000"/>
                <w:szCs w:val="24"/>
                <w:lang w:eastAsia="en-US"/>
              </w:rPr>
              <w:t xml:space="preserve"> in Homicide</w:t>
            </w:r>
          </w:p>
        </w:tc>
        <w:tc>
          <w:tcPr>
            <w:tcW w:w="1548" w:type="dxa"/>
            <w:tcBorders>
              <w:top w:val="nil"/>
              <w:left w:val="nil"/>
              <w:bottom w:val="single" w:sz="4" w:space="0" w:color="auto"/>
              <w:right w:val="single" w:sz="4" w:space="0" w:color="auto"/>
            </w:tcBorders>
            <w:shd w:val="clear" w:color="000000" w:fill="D9D9D9"/>
            <w:noWrap/>
            <w:vAlign w:val="center"/>
            <w:hideMark/>
          </w:tcPr>
          <w:p w14:paraId="7DAA0D34" w14:textId="77777777" w:rsidR="009E152A" w:rsidRPr="00EE1A0A" w:rsidRDefault="009E152A" w:rsidP="00F7595B">
            <w:pPr>
              <w:jc w:val="center"/>
              <w:rPr>
                <w:rFonts w:ascii="Arial Narrow" w:hAnsi="Arial Narrow" w:cs="Calibri"/>
                <w:color w:val="000000"/>
                <w:szCs w:val="24"/>
                <w:lang w:eastAsia="en-US"/>
              </w:rPr>
            </w:pPr>
            <w:r w:rsidRPr="00EE1A0A">
              <w:rPr>
                <w:rFonts w:ascii="Arial Narrow" w:hAnsi="Arial Narrow" w:cs="Calibri"/>
                <w:color w:val="000000"/>
                <w:szCs w:val="24"/>
                <w:lang w:eastAsia="en-US"/>
              </w:rPr>
              <w:t>Decline in Arrest</w:t>
            </w:r>
          </w:p>
        </w:tc>
        <w:tc>
          <w:tcPr>
            <w:tcW w:w="837" w:type="dxa"/>
            <w:tcBorders>
              <w:top w:val="nil"/>
              <w:left w:val="nil"/>
              <w:bottom w:val="single" w:sz="4" w:space="0" w:color="auto"/>
              <w:right w:val="single" w:sz="4" w:space="0" w:color="auto"/>
            </w:tcBorders>
            <w:shd w:val="clear" w:color="000000" w:fill="D9D9D9"/>
            <w:noWrap/>
            <w:vAlign w:val="center"/>
            <w:hideMark/>
          </w:tcPr>
          <w:p w14:paraId="7FC96D29" w14:textId="77777777" w:rsidR="009E152A" w:rsidRPr="00EE1A0A" w:rsidRDefault="009E152A" w:rsidP="00F7595B">
            <w:pPr>
              <w:jc w:val="center"/>
              <w:rPr>
                <w:rFonts w:ascii="Arial Narrow" w:hAnsi="Arial Narrow" w:cs="Calibri"/>
                <w:color w:val="000000"/>
                <w:szCs w:val="24"/>
                <w:lang w:eastAsia="en-US"/>
              </w:rPr>
            </w:pPr>
            <w:r w:rsidRPr="00EE1A0A">
              <w:rPr>
                <w:rFonts w:ascii="Arial Narrow" w:hAnsi="Arial Narrow" w:cs="Calibri"/>
                <w:color w:val="000000"/>
                <w:szCs w:val="24"/>
                <w:lang w:eastAsia="en-US"/>
              </w:rPr>
              <w:t>District #</w:t>
            </w:r>
          </w:p>
        </w:tc>
        <w:tc>
          <w:tcPr>
            <w:tcW w:w="1755" w:type="dxa"/>
            <w:tcBorders>
              <w:top w:val="nil"/>
              <w:left w:val="nil"/>
              <w:bottom w:val="single" w:sz="4" w:space="0" w:color="auto"/>
              <w:right w:val="single" w:sz="4" w:space="0" w:color="auto"/>
            </w:tcBorders>
            <w:shd w:val="clear" w:color="000000" w:fill="D9D9D9"/>
            <w:noWrap/>
            <w:vAlign w:val="center"/>
            <w:hideMark/>
          </w:tcPr>
          <w:p w14:paraId="6D6DC609" w14:textId="77777777" w:rsidR="009E152A" w:rsidRPr="00EE1A0A" w:rsidRDefault="009E152A" w:rsidP="00F7595B">
            <w:pPr>
              <w:jc w:val="center"/>
              <w:rPr>
                <w:rFonts w:ascii="Arial Narrow" w:hAnsi="Arial Narrow" w:cs="Calibri"/>
                <w:color w:val="000000"/>
                <w:szCs w:val="24"/>
                <w:lang w:eastAsia="en-US"/>
              </w:rPr>
            </w:pPr>
            <w:r w:rsidRPr="00EE1A0A">
              <w:rPr>
                <w:rFonts w:ascii="Arial Narrow" w:hAnsi="Arial Narrow" w:cs="Calibri"/>
                <w:color w:val="000000"/>
                <w:szCs w:val="24"/>
                <w:lang w:eastAsia="en-US"/>
              </w:rPr>
              <w:t xml:space="preserve">% </w:t>
            </w:r>
            <w:proofErr w:type="spellStart"/>
            <w:r w:rsidRPr="00EE1A0A">
              <w:rPr>
                <w:rFonts w:ascii="Arial Narrow" w:hAnsi="Arial Narrow" w:cs="Calibri"/>
                <w:color w:val="000000"/>
                <w:szCs w:val="24"/>
                <w:lang w:eastAsia="en-US"/>
              </w:rPr>
              <w:t>Incr</w:t>
            </w:r>
            <w:proofErr w:type="spellEnd"/>
            <w:r w:rsidRPr="00EE1A0A">
              <w:rPr>
                <w:rFonts w:ascii="Arial Narrow" w:hAnsi="Arial Narrow" w:cs="Calibri"/>
                <w:color w:val="000000"/>
                <w:szCs w:val="24"/>
                <w:lang w:eastAsia="en-US"/>
              </w:rPr>
              <w:t xml:space="preserve"> in Homicide</w:t>
            </w:r>
          </w:p>
        </w:tc>
        <w:tc>
          <w:tcPr>
            <w:tcW w:w="1548" w:type="dxa"/>
            <w:tcBorders>
              <w:top w:val="nil"/>
              <w:left w:val="nil"/>
              <w:bottom w:val="single" w:sz="4" w:space="0" w:color="auto"/>
              <w:right w:val="single" w:sz="4" w:space="0" w:color="auto"/>
            </w:tcBorders>
            <w:shd w:val="clear" w:color="000000" w:fill="D9D9D9"/>
            <w:noWrap/>
            <w:vAlign w:val="center"/>
            <w:hideMark/>
          </w:tcPr>
          <w:p w14:paraId="2753491F" w14:textId="77777777" w:rsidR="009E152A" w:rsidRPr="00EE1A0A" w:rsidRDefault="009E152A" w:rsidP="00F7595B">
            <w:pPr>
              <w:jc w:val="center"/>
              <w:rPr>
                <w:rFonts w:ascii="Arial Narrow" w:hAnsi="Arial Narrow" w:cs="Calibri"/>
                <w:color w:val="000000"/>
                <w:szCs w:val="24"/>
                <w:lang w:eastAsia="en-US"/>
              </w:rPr>
            </w:pPr>
            <w:r w:rsidRPr="00EE1A0A">
              <w:rPr>
                <w:rFonts w:ascii="Arial Narrow" w:hAnsi="Arial Narrow" w:cs="Calibri"/>
                <w:color w:val="000000"/>
                <w:szCs w:val="24"/>
                <w:lang w:eastAsia="en-US"/>
              </w:rPr>
              <w:t>Decline in Arrest</w:t>
            </w:r>
          </w:p>
        </w:tc>
      </w:tr>
      <w:tr w:rsidR="00D647E9" w:rsidRPr="00EE1A0A" w14:paraId="57739C25" w14:textId="77777777" w:rsidTr="00F40F65">
        <w:trPr>
          <w:trHeight w:val="312"/>
        </w:trPr>
        <w:tc>
          <w:tcPr>
            <w:tcW w:w="837" w:type="dxa"/>
            <w:tcBorders>
              <w:top w:val="nil"/>
              <w:left w:val="single" w:sz="4" w:space="0" w:color="auto"/>
              <w:bottom w:val="single" w:sz="4" w:space="0" w:color="auto"/>
              <w:right w:val="single" w:sz="4" w:space="0" w:color="auto"/>
            </w:tcBorders>
            <w:shd w:val="clear" w:color="auto" w:fill="auto"/>
            <w:noWrap/>
            <w:vAlign w:val="bottom"/>
            <w:hideMark/>
          </w:tcPr>
          <w:p w14:paraId="5C52F957" w14:textId="307D2AC8" w:rsidR="00D647E9" w:rsidRPr="009E152A" w:rsidRDefault="00D647E9" w:rsidP="00D647E9">
            <w:pPr>
              <w:jc w:val="center"/>
              <w:rPr>
                <w:rFonts w:ascii="Agency FB" w:hAnsi="Agency FB" w:cs="Calibri"/>
                <w:color w:val="000000"/>
                <w:lang w:eastAsia="en-US"/>
              </w:rPr>
            </w:pPr>
            <w:r>
              <w:rPr>
                <w:rFonts w:ascii="Agency FB" w:hAnsi="Agency FB" w:cs="Calibri"/>
                <w:color w:val="000000"/>
              </w:rPr>
              <w:t>7</w:t>
            </w:r>
          </w:p>
        </w:tc>
        <w:tc>
          <w:tcPr>
            <w:tcW w:w="1755" w:type="dxa"/>
            <w:tcBorders>
              <w:top w:val="nil"/>
              <w:left w:val="nil"/>
              <w:bottom w:val="single" w:sz="4" w:space="0" w:color="auto"/>
              <w:right w:val="single" w:sz="4" w:space="0" w:color="auto"/>
            </w:tcBorders>
            <w:shd w:val="clear" w:color="auto" w:fill="auto"/>
            <w:noWrap/>
            <w:vAlign w:val="bottom"/>
            <w:hideMark/>
          </w:tcPr>
          <w:p w14:paraId="76347750" w14:textId="7765A692"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118%</w:t>
            </w:r>
          </w:p>
        </w:tc>
        <w:tc>
          <w:tcPr>
            <w:tcW w:w="1548" w:type="dxa"/>
            <w:tcBorders>
              <w:top w:val="nil"/>
              <w:left w:val="nil"/>
              <w:bottom w:val="single" w:sz="4" w:space="0" w:color="auto"/>
              <w:right w:val="single" w:sz="4" w:space="0" w:color="auto"/>
            </w:tcBorders>
            <w:shd w:val="clear" w:color="auto" w:fill="auto"/>
            <w:noWrap/>
            <w:vAlign w:val="bottom"/>
            <w:hideMark/>
          </w:tcPr>
          <w:p w14:paraId="55D229CD" w14:textId="453AF53D"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-8%</w:t>
            </w:r>
          </w:p>
        </w:tc>
        <w:tc>
          <w:tcPr>
            <w:tcW w:w="837" w:type="dxa"/>
            <w:tcBorders>
              <w:top w:val="nil"/>
              <w:left w:val="nil"/>
              <w:bottom w:val="single" w:sz="4" w:space="0" w:color="auto"/>
              <w:right w:val="single" w:sz="4" w:space="0" w:color="auto"/>
            </w:tcBorders>
            <w:shd w:val="clear" w:color="auto" w:fill="auto"/>
            <w:noWrap/>
            <w:vAlign w:val="bottom"/>
            <w:hideMark/>
          </w:tcPr>
          <w:p w14:paraId="7A9A937B" w14:textId="2F6E96BB" w:rsidR="00D647E9" w:rsidRPr="00EE1A0A" w:rsidRDefault="00D647E9" w:rsidP="00D647E9">
            <w:pPr>
              <w:jc w:val="center"/>
              <w:rPr>
                <w:rFonts w:ascii="Arial Narrow" w:hAnsi="Arial Narrow" w:cs="Calibri"/>
                <w:color w:val="000000"/>
                <w:szCs w:val="24"/>
                <w:lang w:eastAsia="en-US"/>
              </w:rPr>
            </w:pPr>
            <w:r>
              <w:rPr>
                <w:rFonts w:ascii="Arial Narrow" w:hAnsi="Arial Narrow" w:cs="Calibri"/>
                <w:color w:val="000000"/>
                <w:szCs w:val="24"/>
                <w:lang w:eastAsia="en-US"/>
              </w:rPr>
              <w:t>2</w:t>
            </w:r>
          </w:p>
        </w:tc>
        <w:tc>
          <w:tcPr>
            <w:tcW w:w="1755" w:type="dxa"/>
            <w:tcBorders>
              <w:top w:val="nil"/>
              <w:left w:val="nil"/>
              <w:bottom w:val="single" w:sz="4" w:space="0" w:color="auto"/>
              <w:right w:val="single" w:sz="4" w:space="0" w:color="auto"/>
            </w:tcBorders>
            <w:shd w:val="clear" w:color="auto" w:fill="auto"/>
            <w:noWrap/>
            <w:vAlign w:val="bottom"/>
            <w:hideMark/>
          </w:tcPr>
          <w:p w14:paraId="1718D91C" w14:textId="4E75BDB2"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30%</w:t>
            </w:r>
          </w:p>
        </w:tc>
        <w:tc>
          <w:tcPr>
            <w:tcW w:w="1548" w:type="dxa"/>
            <w:tcBorders>
              <w:top w:val="nil"/>
              <w:left w:val="nil"/>
              <w:bottom w:val="single" w:sz="4" w:space="0" w:color="auto"/>
              <w:right w:val="single" w:sz="4" w:space="0" w:color="auto"/>
            </w:tcBorders>
            <w:shd w:val="clear" w:color="auto" w:fill="auto"/>
            <w:noWrap/>
            <w:vAlign w:val="bottom"/>
            <w:hideMark/>
          </w:tcPr>
          <w:p w14:paraId="2F4DD1BA" w14:textId="5EC7CBA4"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17%</w:t>
            </w:r>
          </w:p>
        </w:tc>
      </w:tr>
      <w:tr w:rsidR="00D647E9" w:rsidRPr="00EE1A0A" w14:paraId="10E3B08F" w14:textId="77777777" w:rsidTr="00F40F65">
        <w:trPr>
          <w:trHeight w:val="312"/>
        </w:trPr>
        <w:tc>
          <w:tcPr>
            <w:tcW w:w="837" w:type="dxa"/>
            <w:tcBorders>
              <w:top w:val="nil"/>
              <w:left w:val="single" w:sz="4" w:space="0" w:color="auto"/>
              <w:bottom w:val="single" w:sz="4" w:space="0" w:color="auto"/>
              <w:right w:val="single" w:sz="4" w:space="0" w:color="auto"/>
            </w:tcBorders>
            <w:shd w:val="clear" w:color="auto" w:fill="auto"/>
            <w:noWrap/>
            <w:vAlign w:val="bottom"/>
            <w:hideMark/>
          </w:tcPr>
          <w:p w14:paraId="093A0D8A" w14:textId="77777777" w:rsidR="00D647E9" w:rsidRPr="00EE1A0A" w:rsidRDefault="00D647E9" w:rsidP="00D647E9">
            <w:pPr>
              <w:jc w:val="center"/>
              <w:rPr>
                <w:rFonts w:ascii="Arial Narrow" w:hAnsi="Arial Narrow" w:cs="Calibri"/>
                <w:color w:val="000000"/>
                <w:szCs w:val="24"/>
                <w:lang w:eastAsia="en-US"/>
              </w:rPr>
            </w:pPr>
            <w:r w:rsidRPr="00EE1A0A">
              <w:rPr>
                <w:rFonts w:ascii="Arial Narrow" w:hAnsi="Arial Narrow" w:cs="Calibri"/>
                <w:color w:val="000000"/>
                <w:szCs w:val="24"/>
                <w:lang w:eastAsia="en-US"/>
              </w:rPr>
              <w:t>11</w:t>
            </w:r>
          </w:p>
        </w:tc>
        <w:tc>
          <w:tcPr>
            <w:tcW w:w="1755" w:type="dxa"/>
            <w:tcBorders>
              <w:top w:val="nil"/>
              <w:left w:val="nil"/>
              <w:bottom w:val="single" w:sz="4" w:space="0" w:color="auto"/>
              <w:right w:val="single" w:sz="4" w:space="0" w:color="auto"/>
            </w:tcBorders>
            <w:shd w:val="clear" w:color="auto" w:fill="auto"/>
            <w:noWrap/>
            <w:vAlign w:val="bottom"/>
            <w:hideMark/>
          </w:tcPr>
          <w:p w14:paraId="13260F4C" w14:textId="6A90D1FB"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90%</w:t>
            </w:r>
          </w:p>
        </w:tc>
        <w:tc>
          <w:tcPr>
            <w:tcW w:w="1548" w:type="dxa"/>
            <w:tcBorders>
              <w:top w:val="nil"/>
              <w:left w:val="nil"/>
              <w:bottom w:val="single" w:sz="4" w:space="0" w:color="auto"/>
              <w:right w:val="single" w:sz="4" w:space="0" w:color="auto"/>
            </w:tcBorders>
            <w:shd w:val="clear" w:color="auto" w:fill="auto"/>
            <w:noWrap/>
            <w:vAlign w:val="bottom"/>
            <w:hideMark/>
          </w:tcPr>
          <w:p w14:paraId="362597DF" w14:textId="019D6E5F"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-14%</w:t>
            </w:r>
          </w:p>
        </w:tc>
        <w:tc>
          <w:tcPr>
            <w:tcW w:w="837" w:type="dxa"/>
            <w:tcBorders>
              <w:top w:val="nil"/>
              <w:left w:val="nil"/>
              <w:bottom w:val="single" w:sz="4" w:space="0" w:color="auto"/>
              <w:right w:val="single" w:sz="4" w:space="0" w:color="auto"/>
            </w:tcBorders>
            <w:shd w:val="clear" w:color="auto" w:fill="auto"/>
            <w:noWrap/>
            <w:vAlign w:val="bottom"/>
            <w:hideMark/>
          </w:tcPr>
          <w:p w14:paraId="5B4027DE" w14:textId="337DEE6C" w:rsidR="00D647E9" w:rsidRPr="00EE1A0A" w:rsidRDefault="00D647E9" w:rsidP="00D647E9">
            <w:pPr>
              <w:rPr>
                <w:rFonts w:ascii="Arial Narrow" w:hAnsi="Arial Narrow" w:cs="Calibri"/>
                <w:color w:val="000000"/>
                <w:szCs w:val="24"/>
                <w:lang w:eastAsia="en-US"/>
              </w:rPr>
            </w:pPr>
            <w:r>
              <w:rPr>
                <w:rFonts w:ascii="Arial Narrow" w:hAnsi="Arial Narrow" w:cs="Calibri"/>
                <w:color w:val="000000"/>
                <w:szCs w:val="24"/>
                <w:lang w:eastAsia="en-US"/>
              </w:rPr>
              <w:t xml:space="preserve">    25</w:t>
            </w:r>
          </w:p>
        </w:tc>
        <w:tc>
          <w:tcPr>
            <w:tcW w:w="1755" w:type="dxa"/>
            <w:tcBorders>
              <w:top w:val="nil"/>
              <w:left w:val="nil"/>
              <w:bottom w:val="single" w:sz="4" w:space="0" w:color="auto"/>
              <w:right w:val="single" w:sz="4" w:space="0" w:color="auto"/>
            </w:tcBorders>
            <w:shd w:val="clear" w:color="auto" w:fill="auto"/>
            <w:noWrap/>
            <w:vAlign w:val="bottom"/>
            <w:hideMark/>
          </w:tcPr>
          <w:p w14:paraId="47465207" w14:textId="14DDCF1C"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15%</w:t>
            </w:r>
          </w:p>
        </w:tc>
        <w:tc>
          <w:tcPr>
            <w:tcW w:w="1548" w:type="dxa"/>
            <w:tcBorders>
              <w:top w:val="nil"/>
              <w:left w:val="nil"/>
              <w:bottom w:val="single" w:sz="4" w:space="0" w:color="auto"/>
              <w:right w:val="single" w:sz="4" w:space="0" w:color="auto"/>
            </w:tcBorders>
            <w:shd w:val="clear" w:color="auto" w:fill="auto"/>
            <w:noWrap/>
            <w:vAlign w:val="bottom"/>
            <w:hideMark/>
          </w:tcPr>
          <w:p w14:paraId="6FC5C356" w14:textId="09273420"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-7%</w:t>
            </w:r>
          </w:p>
        </w:tc>
      </w:tr>
      <w:tr w:rsidR="00D647E9" w:rsidRPr="00EE1A0A" w14:paraId="45273D10" w14:textId="77777777" w:rsidTr="00F40F65">
        <w:trPr>
          <w:trHeight w:val="312"/>
        </w:trPr>
        <w:tc>
          <w:tcPr>
            <w:tcW w:w="837" w:type="dxa"/>
            <w:tcBorders>
              <w:top w:val="nil"/>
              <w:left w:val="single" w:sz="4" w:space="0" w:color="auto"/>
              <w:bottom w:val="single" w:sz="4" w:space="0" w:color="auto"/>
              <w:right w:val="single" w:sz="4" w:space="0" w:color="auto"/>
            </w:tcBorders>
            <w:shd w:val="clear" w:color="auto" w:fill="auto"/>
            <w:noWrap/>
            <w:vAlign w:val="bottom"/>
            <w:hideMark/>
          </w:tcPr>
          <w:p w14:paraId="09F90A3C" w14:textId="5AB2F39B" w:rsidR="00D647E9" w:rsidRPr="00EE1A0A" w:rsidRDefault="00D647E9" w:rsidP="00D647E9">
            <w:pPr>
              <w:jc w:val="center"/>
              <w:rPr>
                <w:rFonts w:ascii="Arial Narrow" w:hAnsi="Arial Narrow" w:cs="Calibri"/>
                <w:color w:val="000000"/>
                <w:szCs w:val="24"/>
                <w:lang w:eastAsia="en-US"/>
              </w:rPr>
            </w:pPr>
            <w:r>
              <w:rPr>
                <w:rFonts w:ascii="Arial Narrow" w:hAnsi="Arial Narrow" w:cs="Calibri"/>
                <w:color w:val="000000"/>
                <w:szCs w:val="24"/>
                <w:lang w:eastAsia="en-US"/>
              </w:rPr>
              <w:t>8</w:t>
            </w:r>
          </w:p>
        </w:tc>
        <w:tc>
          <w:tcPr>
            <w:tcW w:w="1755" w:type="dxa"/>
            <w:tcBorders>
              <w:top w:val="nil"/>
              <w:left w:val="nil"/>
              <w:bottom w:val="single" w:sz="4" w:space="0" w:color="auto"/>
              <w:right w:val="single" w:sz="4" w:space="0" w:color="auto"/>
            </w:tcBorders>
            <w:shd w:val="clear" w:color="auto" w:fill="auto"/>
            <w:noWrap/>
            <w:vAlign w:val="bottom"/>
            <w:hideMark/>
          </w:tcPr>
          <w:p w14:paraId="320A60B0" w14:textId="381931BB"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93%</w:t>
            </w:r>
          </w:p>
        </w:tc>
        <w:tc>
          <w:tcPr>
            <w:tcW w:w="1548" w:type="dxa"/>
            <w:tcBorders>
              <w:top w:val="nil"/>
              <w:left w:val="nil"/>
              <w:bottom w:val="single" w:sz="4" w:space="0" w:color="auto"/>
              <w:right w:val="single" w:sz="4" w:space="0" w:color="auto"/>
            </w:tcBorders>
            <w:shd w:val="clear" w:color="auto" w:fill="auto"/>
            <w:noWrap/>
            <w:vAlign w:val="bottom"/>
            <w:hideMark/>
          </w:tcPr>
          <w:p w14:paraId="532BFEF4" w14:textId="3F84C8EB"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-14%</w:t>
            </w:r>
          </w:p>
        </w:tc>
        <w:tc>
          <w:tcPr>
            <w:tcW w:w="837" w:type="dxa"/>
            <w:tcBorders>
              <w:top w:val="nil"/>
              <w:left w:val="nil"/>
              <w:bottom w:val="single" w:sz="4" w:space="0" w:color="auto"/>
              <w:right w:val="single" w:sz="4" w:space="0" w:color="auto"/>
            </w:tcBorders>
            <w:shd w:val="clear" w:color="auto" w:fill="auto"/>
            <w:noWrap/>
            <w:vAlign w:val="bottom"/>
            <w:hideMark/>
          </w:tcPr>
          <w:p w14:paraId="59E0A743" w14:textId="106F3007" w:rsidR="00D647E9" w:rsidRPr="00EE1A0A" w:rsidRDefault="00D647E9" w:rsidP="00D647E9">
            <w:pPr>
              <w:jc w:val="center"/>
              <w:rPr>
                <w:rFonts w:ascii="Arial Narrow" w:hAnsi="Arial Narrow" w:cs="Calibri"/>
                <w:color w:val="000000"/>
                <w:szCs w:val="24"/>
                <w:lang w:eastAsia="en-US"/>
              </w:rPr>
            </w:pPr>
            <w:r>
              <w:rPr>
                <w:rFonts w:ascii="Arial Narrow" w:hAnsi="Arial Narrow" w:cs="Calibri"/>
                <w:color w:val="000000"/>
                <w:szCs w:val="24"/>
                <w:lang w:eastAsia="en-US"/>
              </w:rPr>
              <w:t>9</w:t>
            </w:r>
          </w:p>
        </w:tc>
        <w:tc>
          <w:tcPr>
            <w:tcW w:w="1755" w:type="dxa"/>
            <w:tcBorders>
              <w:top w:val="nil"/>
              <w:left w:val="nil"/>
              <w:bottom w:val="single" w:sz="4" w:space="0" w:color="auto"/>
              <w:right w:val="single" w:sz="4" w:space="0" w:color="auto"/>
            </w:tcBorders>
            <w:shd w:val="clear" w:color="auto" w:fill="auto"/>
            <w:noWrap/>
            <w:vAlign w:val="bottom"/>
            <w:hideMark/>
          </w:tcPr>
          <w:p w14:paraId="1A7DA044" w14:textId="4CE9D257"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106%</w:t>
            </w:r>
          </w:p>
        </w:tc>
        <w:tc>
          <w:tcPr>
            <w:tcW w:w="1548" w:type="dxa"/>
            <w:tcBorders>
              <w:top w:val="nil"/>
              <w:left w:val="nil"/>
              <w:bottom w:val="single" w:sz="4" w:space="0" w:color="auto"/>
              <w:right w:val="single" w:sz="4" w:space="0" w:color="auto"/>
            </w:tcBorders>
            <w:shd w:val="clear" w:color="auto" w:fill="auto"/>
            <w:noWrap/>
            <w:vAlign w:val="bottom"/>
            <w:hideMark/>
          </w:tcPr>
          <w:p w14:paraId="607A0BE5" w14:textId="7DABF683" w:rsidR="00D647E9" w:rsidRPr="00EE1A0A" w:rsidRDefault="00D647E9" w:rsidP="00D647E9">
            <w:pPr>
              <w:jc w:val="center"/>
              <w:rPr>
                <w:rFonts w:ascii="Arial Narrow" w:hAnsi="Arial Narrow" w:cs="Calibri"/>
                <w:color w:val="000000"/>
                <w:szCs w:val="24"/>
                <w:lang w:eastAsia="en-US"/>
              </w:rPr>
            </w:pPr>
            <w:r>
              <w:rPr>
                <w:rFonts w:ascii="Agency FB" w:hAnsi="Agency FB" w:cs="Calibri"/>
                <w:color w:val="000000"/>
              </w:rPr>
              <w:t>-4%</w:t>
            </w:r>
          </w:p>
        </w:tc>
      </w:tr>
    </w:tbl>
    <w:p w14:paraId="2EFB01B7" w14:textId="77777777" w:rsidR="00F40F65" w:rsidRPr="007C0DED" w:rsidRDefault="00F40F65" w:rsidP="004F6134"/>
    <w:sectPr w:rsidR="00F40F65" w:rsidRPr="007C0DED" w:rsidSect="00766E8E">
      <w:pgSz w:w="12240" w:h="15840"/>
      <w:pgMar w:top="1440" w:right="720" w:bottom="1440" w:left="6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720"/>
    <w:multiLevelType w:val="multilevel"/>
    <w:tmpl w:val="0696FE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2A6E7A"/>
    <w:multiLevelType w:val="multilevel"/>
    <w:tmpl w:val="0BA871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59463C"/>
    <w:multiLevelType w:val="hybridMultilevel"/>
    <w:tmpl w:val="6158C87C"/>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9E68EE"/>
    <w:multiLevelType w:val="hybridMultilevel"/>
    <w:tmpl w:val="77F22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5B748F"/>
    <w:multiLevelType w:val="hybridMultilevel"/>
    <w:tmpl w:val="6616B96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F8D02B2"/>
    <w:multiLevelType w:val="hybridMultilevel"/>
    <w:tmpl w:val="D0F603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621F85"/>
    <w:multiLevelType w:val="hybridMultilevel"/>
    <w:tmpl w:val="BDC49F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36187505"/>
    <w:multiLevelType w:val="hybridMultilevel"/>
    <w:tmpl w:val="69F8A548"/>
    <w:lvl w:ilvl="0" w:tplc="F8E61AB8">
      <w:start w:val="4"/>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8" w15:restartNumberingAfterBreak="0">
    <w:nsid w:val="36314336"/>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8A6B65"/>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21059E"/>
    <w:multiLevelType w:val="hybridMultilevel"/>
    <w:tmpl w:val="81925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8A93FB2"/>
    <w:multiLevelType w:val="hybridMultilevel"/>
    <w:tmpl w:val="B0D2E228"/>
    <w:lvl w:ilvl="0" w:tplc="DA629D58">
      <w:start w:val="1"/>
      <w:numFmt w:val="lowerLetter"/>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3" w15:restartNumberingAfterBreak="0">
    <w:nsid w:val="48C60A91"/>
    <w:multiLevelType w:val="multilevel"/>
    <w:tmpl w:val="1EAC34C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58D28E2"/>
    <w:multiLevelType w:val="multilevel"/>
    <w:tmpl w:val="73CA7B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6575CF5"/>
    <w:multiLevelType w:val="hybridMultilevel"/>
    <w:tmpl w:val="FD9E4ACA"/>
    <w:lvl w:ilvl="0" w:tplc="763A05C8">
      <w:start w:val="1"/>
      <w:numFmt w:val="bullet"/>
      <w:lvlText w:val=""/>
      <w:lvlJc w:val="left"/>
      <w:pPr>
        <w:tabs>
          <w:tab w:val="num" w:pos="720"/>
        </w:tabs>
        <w:ind w:left="720" w:hanging="360"/>
      </w:pPr>
      <w:rPr>
        <w:rFonts w:ascii="Wingdings" w:hAnsi="Wingdings" w:hint="default"/>
      </w:rPr>
    </w:lvl>
    <w:lvl w:ilvl="1" w:tplc="4746B038">
      <w:start w:val="168"/>
      <w:numFmt w:val="bullet"/>
      <w:lvlText w:val="–"/>
      <w:lvlJc w:val="left"/>
      <w:pPr>
        <w:tabs>
          <w:tab w:val="num" w:pos="1440"/>
        </w:tabs>
        <w:ind w:left="1440" w:hanging="360"/>
      </w:pPr>
      <w:rPr>
        <w:rFonts w:ascii="Times New Roman" w:hAnsi="Times New Roman" w:hint="default"/>
      </w:rPr>
    </w:lvl>
    <w:lvl w:ilvl="2" w:tplc="FC48E74A" w:tentative="1">
      <w:start w:val="1"/>
      <w:numFmt w:val="bullet"/>
      <w:lvlText w:val=""/>
      <w:lvlJc w:val="left"/>
      <w:pPr>
        <w:tabs>
          <w:tab w:val="num" w:pos="2160"/>
        </w:tabs>
        <w:ind w:left="2160" w:hanging="360"/>
      </w:pPr>
      <w:rPr>
        <w:rFonts w:ascii="Wingdings" w:hAnsi="Wingdings" w:hint="default"/>
      </w:rPr>
    </w:lvl>
    <w:lvl w:ilvl="3" w:tplc="94FAE1FA" w:tentative="1">
      <w:start w:val="1"/>
      <w:numFmt w:val="bullet"/>
      <w:lvlText w:val=""/>
      <w:lvlJc w:val="left"/>
      <w:pPr>
        <w:tabs>
          <w:tab w:val="num" w:pos="2880"/>
        </w:tabs>
        <w:ind w:left="2880" w:hanging="360"/>
      </w:pPr>
      <w:rPr>
        <w:rFonts w:ascii="Wingdings" w:hAnsi="Wingdings" w:hint="default"/>
      </w:rPr>
    </w:lvl>
    <w:lvl w:ilvl="4" w:tplc="CD76E3DC" w:tentative="1">
      <w:start w:val="1"/>
      <w:numFmt w:val="bullet"/>
      <w:lvlText w:val=""/>
      <w:lvlJc w:val="left"/>
      <w:pPr>
        <w:tabs>
          <w:tab w:val="num" w:pos="3600"/>
        </w:tabs>
        <w:ind w:left="3600" w:hanging="360"/>
      </w:pPr>
      <w:rPr>
        <w:rFonts w:ascii="Wingdings" w:hAnsi="Wingdings" w:hint="default"/>
      </w:rPr>
    </w:lvl>
    <w:lvl w:ilvl="5" w:tplc="1D6E782A" w:tentative="1">
      <w:start w:val="1"/>
      <w:numFmt w:val="bullet"/>
      <w:lvlText w:val=""/>
      <w:lvlJc w:val="left"/>
      <w:pPr>
        <w:tabs>
          <w:tab w:val="num" w:pos="4320"/>
        </w:tabs>
        <w:ind w:left="4320" w:hanging="360"/>
      </w:pPr>
      <w:rPr>
        <w:rFonts w:ascii="Wingdings" w:hAnsi="Wingdings" w:hint="default"/>
      </w:rPr>
    </w:lvl>
    <w:lvl w:ilvl="6" w:tplc="58949022" w:tentative="1">
      <w:start w:val="1"/>
      <w:numFmt w:val="bullet"/>
      <w:lvlText w:val=""/>
      <w:lvlJc w:val="left"/>
      <w:pPr>
        <w:tabs>
          <w:tab w:val="num" w:pos="5040"/>
        </w:tabs>
        <w:ind w:left="5040" w:hanging="360"/>
      </w:pPr>
      <w:rPr>
        <w:rFonts w:ascii="Wingdings" w:hAnsi="Wingdings" w:hint="default"/>
      </w:rPr>
    </w:lvl>
    <w:lvl w:ilvl="7" w:tplc="DC6E15BC" w:tentative="1">
      <w:start w:val="1"/>
      <w:numFmt w:val="bullet"/>
      <w:lvlText w:val=""/>
      <w:lvlJc w:val="left"/>
      <w:pPr>
        <w:tabs>
          <w:tab w:val="num" w:pos="5760"/>
        </w:tabs>
        <w:ind w:left="5760" w:hanging="360"/>
      </w:pPr>
      <w:rPr>
        <w:rFonts w:ascii="Wingdings" w:hAnsi="Wingdings" w:hint="default"/>
      </w:rPr>
    </w:lvl>
    <w:lvl w:ilvl="8" w:tplc="27D472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705F88"/>
    <w:multiLevelType w:val="hybridMultilevel"/>
    <w:tmpl w:val="3FEA5E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97F00E3"/>
    <w:multiLevelType w:val="hybridMultilevel"/>
    <w:tmpl w:val="6E2C2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105564"/>
    <w:multiLevelType w:val="hybridMultilevel"/>
    <w:tmpl w:val="290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13858"/>
    <w:multiLevelType w:val="multilevel"/>
    <w:tmpl w:val="8D7A187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C4D637E"/>
    <w:multiLevelType w:val="hybridMultilevel"/>
    <w:tmpl w:val="26503F9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73600B"/>
    <w:multiLevelType w:val="hybridMultilevel"/>
    <w:tmpl w:val="A3BCDBC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3" w15:restartNumberingAfterBreak="0">
    <w:nsid w:val="7FEF3E17"/>
    <w:multiLevelType w:val="hybridMultilevel"/>
    <w:tmpl w:val="9866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abstractNumId w:val="24"/>
  </w:num>
  <w:num w:numId="2">
    <w:abstractNumId w:val="15"/>
  </w:num>
  <w:num w:numId="3">
    <w:abstractNumId w:val="21"/>
  </w:num>
  <w:num w:numId="4">
    <w:abstractNumId w:val="14"/>
  </w:num>
  <w:num w:numId="5">
    <w:abstractNumId w:val="10"/>
  </w:num>
  <w:num w:numId="6">
    <w:abstractNumId w:val="6"/>
  </w:num>
  <w:num w:numId="7">
    <w:abstractNumId w:val="22"/>
  </w:num>
  <w:num w:numId="8">
    <w:abstractNumId w:val="17"/>
  </w:num>
  <w:num w:numId="9">
    <w:abstractNumId w:val="4"/>
  </w:num>
  <w:num w:numId="10">
    <w:abstractNumId w:val="2"/>
  </w:num>
  <w:num w:numId="11">
    <w:abstractNumId w:val="8"/>
  </w:num>
  <w:num w:numId="12">
    <w:abstractNumId w:val="16"/>
  </w:num>
  <w:num w:numId="13">
    <w:abstractNumId w:val="20"/>
  </w:num>
  <w:num w:numId="14">
    <w:abstractNumId w:val="5"/>
  </w:num>
  <w:num w:numId="15">
    <w:abstractNumId w:val="0"/>
  </w:num>
  <w:num w:numId="16">
    <w:abstractNumId w:val="7"/>
  </w:num>
  <w:num w:numId="17">
    <w:abstractNumId w:val="12"/>
  </w:num>
  <w:num w:numId="18">
    <w:abstractNumId w:val="19"/>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
  </w:num>
  <w:num w:numId="23">
    <w:abstractNumId w:val="13"/>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7B"/>
    <w:rsid w:val="00011941"/>
    <w:rsid w:val="0001490C"/>
    <w:rsid w:val="000159B8"/>
    <w:rsid w:val="00022FC8"/>
    <w:rsid w:val="0003227A"/>
    <w:rsid w:val="0006389C"/>
    <w:rsid w:val="000722AA"/>
    <w:rsid w:val="00082A48"/>
    <w:rsid w:val="0008547A"/>
    <w:rsid w:val="000924B4"/>
    <w:rsid w:val="000B2103"/>
    <w:rsid w:val="000C2161"/>
    <w:rsid w:val="000E174A"/>
    <w:rsid w:val="000E3A76"/>
    <w:rsid w:val="000F19D2"/>
    <w:rsid w:val="000F308E"/>
    <w:rsid w:val="00112E62"/>
    <w:rsid w:val="00115289"/>
    <w:rsid w:val="00116E81"/>
    <w:rsid w:val="00121AF0"/>
    <w:rsid w:val="00151A52"/>
    <w:rsid w:val="00175316"/>
    <w:rsid w:val="00194D00"/>
    <w:rsid w:val="001B01DB"/>
    <w:rsid w:val="001C5607"/>
    <w:rsid w:val="001D0132"/>
    <w:rsid w:val="001F5243"/>
    <w:rsid w:val="001F6538"/>
    <w:rsid w:val="00200F2F"/>
    <w:rsid w:val="00211D2F"/>
    <w:rsid w:val="002220F7"/>
    <w:rsid w:val="00231120"/>
    <w:rsid w:val="0023183A"/>
    <w:rsid w:val="00232F3F"/>
    <w:rsid w:val="00234AF0"/>
    <w:rsid w:val="00234CD0"/>
    <w:rsid w:val="00243ED1"/>
    <w:rsid w:val="0025666A"/>
    <w:rsid w:val="002775B0"/>
    <w:rsid w:val="002778DA"/>
    <w:rsid w:val="002916F9"/>
    <w:rsid w:val="00293692"/>
    <w:rsid w:val="002C5A3D"/>
    <w:rsid w:val="002C66A2"/>
    <w:rsid w:val="002D0DD6"/>
    <w:rsid w:val="002D60E8"/>
    <w:rsid w:val="002F3CC6"/>
    <w:rsid w:val="00303947"/>
    <w:rsid w:val="00326357"/>
    <w:rsid w:val="0032687A"/>
    <w:rsid w:val="00351172"/>
    <w:rsid w:val="00351B1F"/>
    <w:rsid w:val="003563DF"/>
    <w:rsid w:val="00365FA3"/>
    <w:rsid w:val="0039202F"/>
    <w:rsid w:val="003B1477"/>
    <w:rsid w:val="003B5821"/>
    <w:rsid w:val="003E5DEF"/>
    <w:rsid w:val="003F462A"/>
    <w:rsid w:val="00412DFD"/>
    <w:rsid w:val="00415F0E"/>
    <w:rsid w:val="0043098F"/>
    <w:rsid w:val="00434B27"/>
    <w:rsid w:val="00441D8B"/>
    <w:rsid w:val="00450300"/>
    <w:rsid w:val="004735EF"/>
    <w:rsid w:val="00481DAB"/>
    <w:rsid w:val="004974E9"/>
    <w:rsid w:val="004A6251"/>
    <w:rsid w:val="004A7BEC"/>
    <w:rsid w:val="004B779F"/>
    <w:rsid w:val="004C0BAD"/>
    <w:rsid w:val="004F6134"/>
    <w:rsid w:val="00510C93"/>
    <w:rsid w:val="005245AC"/>
    <w:rsid w:val="0054776D"/>
    <w:rsid w:val="00583AFD"/>
    <w:rsid w:val="00595144"/>
    <w:rsid w:val="005A2668"/>
    <w:rsid w:val="005C7E4B"/>
    <w:rsid w:val="005D32B3"/>
    <w:rsid w:val="005D71CD"/>
    <w:rsid w:val="005D720C"/>
    <w:rsid w:val="0061258D"/>
    <w:rsid w:val="00615CFC"/>
    <w:rsid w:val="00634C96"/>
    <w:rsid w:val="00635D86"/>
    <w:rsid w:val="00685B7D"/>
    <w:rsid w:val="00693E45"/>
    <w:rsid w:val="006B1D43"/>
    <w:rsid w:val="006B1D65"/>
    <w:rsid w:val="006C6313"/>
    <w:rsid w:val="006E028E"/>
    <w:rsid w:val="007107C2"/>
    <w:rsid w:val="0071379D"/>
    <w:rsid w:val="00726F44"/>
    <w:rsid w:val="00747D71"/>
    <w:rsid w:val="00751D12"/>
    <w:rsid w:val="00766E8E"/>
    <w:rsid w:val="007777D4"/>
    <w:rsid w:val="00787E41"/>
    <w:rsid w:val="00790F6B"/>
    <w:rsid w:val="007B7CDE"/>
    <w:rsid w:val="007C0DED"/>
    <w:rsid w:val="007C1A84"/>
    <w:rsid w:val="007C1DB3"/>
    <w:rsid w:val="007C3496"/>
    <w:rsid w:val="007C7C41"/>
    <w:rsid w:val="007F26F2"/>
    <w:rsid w:val="007F2AA7"/>
    <w:rsid w:val="00816196"/>
    <w:rsid w:val="00836AD7"/>
    <w:rsid w:val="0084032D"/>
    <w:rsid w:val="00844A2E"/>
    <w:rsid w:val="00865096"/>
    <w:rsid w:val="00865E0A"/>
    <w:rsid w:val="00891601"/>
    <w:rsid w:val="00894A64"/>
    <w:rsid w:val="008B3ABD"/>
    <w:rsid w:val="008C2648"/>
    <w:rsid w:val="008D31F6"/>
    <w:rsid w:val="008D5DB1"/>
    <w:rsid w:val="008F1C3B"/>
    <w:rsid w:val="008F2DE3"/>
    <w:rsid w:val="00932795"/>
    <w:rsid w:val="0093707B"/>
    <w:rsid w:val="0093756E"/>
    <w:rsid w:val="0094062C"/>
    <w:rsid w:val="00962AD9"/>
    <w:rsid w:val="00965091"/>
    <w:rsid w:val="0097079D"/>
    <w:rsid w:val="009843A5"/>
    <w:rsid w:val="00991399"/>
    <w:rsid w:val="009B7E27"/>
    <w:rsid w:val="009D4537"/>
    <w:rsid w:val="009E152A"/>
    <w:rsid w:val="009F5954"/>
    <w:rsid w:val="00A17407"/>
    <w:rsid w:val="00A25F25"/>
    <w:rsid w:val="00A406BA"/>
    <w:rsid w:val="00A538AB"/>
    <w:rsid w:val="00A72CB2"/>
    <w:rsid w:val="00A73E4D"/>
    <w:rsid w:val="00A748F3"/>
    <w:rsid w:val="00A86A17"/>
    <w:rsid w:val="00A96033"/>
    <w:rsid w:val="00AA3F4C"/>
    <w:rsid w:val="00AB76EA"/>
    <w:rsid w:val="00AE7624"/>
    <w:rsid w:val="00AF62EF"/>
    <w:rsid w:val="00B00021"/>
    <w:rsid w:val="00B14A82"/>
    <w:rsid w:val="00B26CAD"/>
    <w:rsid w:val="00B5728A"/>
    <w:rsid w:val="00B57578"/>
    <w:rsid w:val="00B624E7"/>
    <w:rsid w:val="00B64D5A"/>
    <w:rsid w:val="00B67EE2"/>
    <w:rsid w:val="00B9352B"/>
    <w:rsid w:val="00B94BB0"/>
    <w:rsid w:val="00B977E1"/>
    <w:rsid w:val="00BA73F7"/>
    <w:rsid w:val="00BB1AD9"/>
    <w:rsid w:val="00BD01AA"/>
    <w:rsid w:val="00BD42F1"/>
    <w:rsid w:val="00BD5CC1"/>
    <w:rsid w:val="00C03D73"/>
    <w:rsid w:val="00C05BC9"/>
    <w:rsid w:val="00C15ED1"/>
    <w:rsid w:val="00C16BDB"/>
    <w:rsid w:val="00C21800"/>
    <w:rsid w:val="00C263FA"/>
    <w:rsid w:val="00C4164E"/>
    <w:rsid w:val="00C618B3"/>
    <w:rsid w:val="00C63DF3"/>
    <w:rsid w:val="00C64BEC"/>
    <w:rsid w:val="00C65833"/>
    <w:rsid w:val="00C7755F"/>
    <w:rsid w:val="00C845F2"/>
    <w:rsid w:val="00C952EE"/>
    <w:rsid w:val="00C96EBC"/>
    <w:rsid w:val="00CA0A7E"/>
    <w:rsid w:val="00CB4112"/>
    <w:rsid w:val="00CB48C8"/>
    <w:rsid w:val="00CC3074"/>
    <w:rsid w:val="00CD4B4B"/>
    <w:rsid w:val="00CE1CDB"/>
    <w:rsid w:val="00D022E2"/>
    <w:rsid w:val="00D25F5E"/>
    <w:rsid w:val="00D261F9"/>
    <w:rsid w:val="00D31D71"/>
    <w:rsid w:val="00D404DC"/>
    <w:rsid w:val="00D41845"/>
    <w:rsid w:val="00D466E7"/>
    <w:rsid w:val="00D546A1"/>
    <w:rsid w:val="00D647E9"/>
    <w:rsid w:val="00D71EF4"/>
    <w:rsid w:val="00D72951"/>
    <w:rsid w:val="00D83270"/>
    <w:rsid w:val="00DA1574"/>
    <w:rsid w:val="00DB4A79"/>
    <w:rsid w:val="00DE194A"/>
    <w:rsid w:val="00DE1FF0"/>
    <w:rsid w:val="00DF52E4"/>
    <w:rsid w:val="00E032BB"/>
    <w:rsid w:val="00E06581"/>
    <w:rsid w:val="00E33A8F"/>
    <w:rsid w:val="00E4032E"/>
    <w:rsid w:val="00E55A91"/>
    <w:rsid w:val="00E649CE"/>
    <w:rsid w:val="00E769C5"/>
    <w:rsid w:val="00E9190F"/>
    <w:rsid w:val="00E92AA0"/>
    <w:rsid w:val="00EA1663"/>
    <w:rsid w:val="00EA6272"/>
    <w:rsid w:val="00EC5DD4"/>
    <w:rsid w:val="00ED6593"/>
    <w:rsid w:val="00ED6BDA"/>
    <w:rsid w:val="00EE1A0A"/>
    <w:rsid w:val="00EE5E96"/>
    <w:rsid w:val="00EF7391"/>
    <w:rsid w:val="00F00CBB"/>
    <w:rsid w:val="00F025B2"/>
    <w:rsid w:val="00F064B9"/>
    <w:rsid w:val="00F11006"/>
    <w:rsid w:val="00F23392"/>
    <w:rsid w:val="00F40396"/>
    <w:rsid w:val="00F40F65"/>
    <w:rsid w:val="00F4360B"/>
    <w:rsid w:val="00F44D72"/>
    <w:rsid w:val="00F46047"/>
    <w:rsid w:val="00F50BE0"/>
    <w:rsid w:val="00F56FA2"/>
    <w:rsid w:val="00F57DBB"/>
    <w:rsid w:val="00F65B6F"/>
    <w:rsid w:val="00F776C4"/>
    <w:rsid w:val="00F80634"/>
    <w:rsid w:val="00F826FC"/>
    <w:rsid w:val="00F91F63"/>
    <w:rsid w:val="00F9717A"/>
    <w:rsid w:val="00FA5511"/>
    <w:rsid w:val="00FE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BC826"/>
  <w15:docId w15:val="{1BA44139-7DCA-4431-BDB8-0E466A42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AA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C7C41"/>
    <w:pPr>
      <w:tabs>
        <w:tab w:val="left" w:pos="360"/>
      </w:tabs>
      <w:ind w:left="360" w:hanging="360"/>
    </w:pPr>
    <w:rPr>
      <w:b/>
    </w:rPr>
  </w:style>
  <w:style w:type="character" w:styleId="Hyperlink">
    <w:name w:val="Hyperlink"/>
    <w:rsid w:val="00B5728A"/>
    <w:rPr>
      <w:color w:val="0000FF"/>
      <w:u w:val="single"/>
    </w:rPr>
  </w:style>
  <w:style w:type="character" w:customStyle="1" w:styleId="BodyTextIndentChar">
    <w:name w:val="Body Text Indent Char"/>
    <w:link w:val="BodyTextIndent"/>
    <w:rsid w:val="00F23392"/>
    <w:rPr>
      <w:b/>
      <w:sz w:val="24"/>
      <w:lang w:eastAsia="ko-KR"/>
    </w:rPr>
  </w:style>
  <w:style w:type="character" w:styleId="FollowedHyperlink">
    <w:name w:val="FollowedHyperlink"/>
    <w:basedOn w:val="DefaultParagraphFont"/>
    <w:rsid w:val="002778DA"/>
    <w:rPr>
      <w:color w:val="800080" w:themeColor="followedHyperlink"/>
      <w:u w:val="single"/>
    </w:rPr>
  </w:style>
  <w:style w:type="paragraph" w:styleId="ListParagraph">
    <w:name w:val="List Paragraph"/>
    <w:basedOn w:val="Normal"/>
    <w:uiPriority w:val="34"/>
    <w:qFormat/>
    <w:rsid w:val="00DE1FF0"/>
    <w:pPr>
      <w:spacing w:after="200" w:line="276" w:lineRule="auto"/>
      <w:ind w:left="720"/>
      <w:contextualSpacing/>
    </w:pPr>
    <w:rPr>
      <w:rFonts w:asciiTheme="minorHAnsi" w:eastAsiaTheme="minorHAnsi" w:hAnsiTheme="minorHAnsi" w:cstheme="minorBidi"/>
      <w:sz w:val="22"/>
      <w:szCs w:val="22"/>
      <w:lang w:eastAsia="en-US"/>
    </w:rPr>
  </w:style>
  <w:style w:type="character" w:styleId="Strong">
    <w:name w:val="Strong"/>
    <w:basedOn w:val="DefaultParagraphFont"/>
    <w:qFormat/>
    <w:rsid w:val="00392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0022">
      <w:bodyDiv w:val="1"/>
      <w:marLeft w:val="0"/>
      <w:marRight w:val="0"/>
      <w:marTop w:val="0"/>
      <w:marBottom w:val="0"/>
      <w:divBdr>
        <w:top w:val="none" w:sz="0" w:space="0" w:color="auto"/>
        <w:left w:val="none" w:sz="0" w:space="0" w:color="auto"/>
        <w:bottom w:val="none" w:sz="0" w:space="0" w:color="auto"/>
        <w:right w:val="none" w:sz="0" w:space="0" w:color="auto"/>
      </w:divBdr>
      <w:divsChild>
        <w:div w:id="883563872">
          <w:marLeft w:val="0"/>
          <w:marRight w:val="0"/>
          <w:marTop w:val="0"/>
          <w:marBottom w:val="0"/>
          <w:divBdr>
            <w:top w:val="none" w:sz="0" w:space="0" w:color="auto"/>
            <w:left w:val="none" w:sz="0" w:space="0" w:color="auto"/>
            <w:bottom w:val="none" w:sz="0" w:space="0" w:color="auto"/>
            <w:right w:val="none" w:sz="0" w:space="0" w:color="auto"/>
          </w:divBdr>
          <w:divsChild>
            <w:div w:id="492841279">
              <w:marLeft w:val="0"/>
              <w:marRight w:val="0"/>
              <w:marTop w:val="0"/>
              <w:marBottom w:val="0"/>
              <w:divBdr>
                <w:top w:val="none" w:sz="0" w:space="0" w:color="auto"/>
                <w:left w:val="none" w:sz="0" w:space="0" w:color="auto"/>
                <w:bottom w:val="none" w:sz="0" w:space="0" w:color="auto"/>
                <w:right w:val="none" w:sz="0" w:space="0" w:color="auto"/>
              </w:divBdr>
            </w:div>
            <w:div w:id="16743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887">
      <w:bodyDiv w:val="1"/>
      <w:marLeft w:val="0"/>
      <w:marRight w:val="0"/>
      <w:marTop w:val="0"/>
      <w:marBottom w:val="0"/>
      <w:divBdr>
        <w:top w:val="none" w:sz="0" w:space="0" w:color="auto"/>
        <w:left w:val="none" w:sz="0" w:space="0" w:color="auto"/>
        <w:bottom w:val="none" w:sz="0" w:space="0" w:color="auto"/>
        <w:right w:val="none" w:sz="0" w:space="0" w:color="auto"/>
      </w:divBdr>
    </w:div>
    <w:div w:id="342323224">
      <w:bodyDiv w:val="1"/>
      <w:marLeft w:val="0"/>
      <w:marRight w:val="0"/>
      <w:marTop w:val="0"/>
      <w:marBottom w:val="0"/>
      <w:divBdr>
        <w:top w:val="none" w:sz="0" w:space="0" w:color="auto"/>
        <w:left w:val="none" w:sz="0" w:space="0" w:color="auto"/>
        <w:bottom w:val="none" w:sz="0" w:space="0" w:color="auto"/>
        <w:right w:val="none" w:sz="0" w:space="0" w:color="auto"/>
      </w:divBdr>
    </w:div>
    <w:div w:id="494304812">
      <w:bodyDiv w:val="1"/>
      <w:marLeft w:val="0"/>
      <w:marRight w:val="0"/>
      <w:marTop w:val="0"/>
      <w:marBottom w:val="0"/>
      <w:divBdr>
        <w:top w:val="none" w:sz="0" w:space="0" w:color="auto"/>
        <w:left w:val="none" w:sz="0" w:space="0" w:color="auto"/>
        <w:bottom w:val="none" w:sz="0" w:space="0" w:color="auto"/>
        <w:right w:val="none" w:sz="0" w:space="0" w:color="auto"/>
      </w:divBdr>
    </w:div>
    <w:div w:id="505557449">
      <w:bodyDiv w:val="1"/>
      <w:marLeft w:val="0"/>
      <w:marRight w:val="0"/>
      <w:marTop w:val="0"/>
      <w:marBottom w:val="0"/>
      <w:divBdr>
        <w:top w:val="none" w:sz="0" w:space="0" w:color="auto"/>
        <w:left w:val="none" w:sz="0" w:space="0" w:color="auto"/>
        <w:bottom w:val="none" w:sz="0" w:space="0" w:color="auto"/>
        <w:right w:val="none" w:sz="0" w:space="0" w:color="auto"/>
      </w:divBdr>
    </w:div>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9013">
      <w:bodyDiv w:val="1"/>
      <w:marLeft w:val="0"/>
      <w:marRight w:val="0"/>
      <w:marTop w:val="0"/>
      <w:marBottom w:val="0"/>
      <w:divBdr>
        <w:top w:val="none" w:sz="0" w:space="0" w:color="auto"/>
        <w:left w:val="none" w:sz="0" w:space="0" w:color="auto"/>
        <w:bottom w:val="none" w:sz="0" w:space="0" w:color="auto"/>
        <w:right w:val="none" w:sz="0" w:space="0" w:color="auto"/>
      </w:divBdr>
    </w:div>
    <w:div w:id="932399696">
      <w:bodyDiv w:val="1"/>
      <w:marLeft w:val="0"/>
      <w:marRight w:val="0"/>
      <w:marTop w:val="0"/>
      <w:marBottom w:val="0"/>
      <w:divBdr>
        <w:top w:val="none" w:sz="0" w:space="0" w:color="auto"/>
        <w:left w:val="none" w:sz="0" w:space="0" w:color="auto"/>
        <w:bottom w:val="none" w:sz="0" w:space="0" w:color="auto"/>
        <w:right w:val="none" w:sz="0" w:space="0" w:color="auto"/>
      </w:divBdr>
    </w:div>
    <w:div w:id="1023092245">
      <w:bodyDiv w:val="1"/>
      <w:marLeft w:val="0"/>
      <w:marRight w:val="0"/>
      <w:marTop w:val="0"/>
      <w:marBottom w:val="0"/>
      <w:divBdr>
        <w:top w:val="none" w:sz="0" w:space="0" w:color="auto"/>
        <w:left w:val="none" w:sz="0" w:space="0" w:color="auto"/>
        <w:bottom w:val="none" w:sz="0" w:space="0" w:color="auto"/>
        <w:right w:val="none" w:sz="0" w:space="0" w:color="auto"/>
      </w:divBdr>
    </w:div>
    <w:div w:id="1038699177">
      <w:bodyDiv w:val="1"/>
      <w:marLeft w:val="0"/>
      <w:marRight w:val="0"/>
      <w:marTop w:val="0"/>
      <w:marBottom w:val="0"/>
      <w:divBdr>
        <w:top w:val="none" w:sz="0" w:space="0" w:color="auto"/>
        <w:left w:val="none" w:sz="0" w:space="0" w:color="auto"/>
        <w:bottom w:val="none" w:sz="0" w:space="0" w:color="auto"/>
        <w:right w:val="none" w:sz="0" w:space="0" w:color="auto"/>
      </w:divBdr>
      <w:divsChild>
        <w:div w:id="443887327">
          <w:marLeft w:val="0"/>
          <w:marRight w:val="0"/>
          <w:marTop w:val="0"/>
          <w:marBottom w:val="0"/>
          <w:divBdr>
            <w:top w:val="none" w:sz="0" w:space="0" w:color="auto"/>
            <w:left w:val="none" w:sz="0" w:space="0" w:color="auto"/>
            <w:bottom w:val="none" w:sz="0" w:space="0" w:color="auto"/>
            <w:right w:val="none" w:sz="0" w:space="0" w:color="auto"/>
          </w:divBdr>
          <w:divsChild>
            <w:div w:id="1179392549">
              <w:marLeft w:val="0"/>
              <w:marRight w:val="0"/>
              <w:marTop w:val="0"/>
              <w:marBottom w:val="0"/>
              <w:divBdr>
                <w:top w:val="none" w:sz="0" w:space="0" w:color="auto"/>
                <w:left w:val="none" w:sz="0" w:space="0" w:color="auto"/>
                <w:bottom w:val="none" w:sz="0" w:space="0" w:color="auto"/>
                <w:right w:val="none" w:sz="0" w:space="0" w:color="auto"/>
              </w:divBdr>
            </w:div>
            <w:div w:id="19858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453">
      <w:bodyDiv w:val="1"/>
      <w:marLeft w:val="0"/>
      <w:marRight w:val="0"/>
      <w:marTop w:val="0"/>
      <w:marBottom w:val="0"/>
      <w:divBdr>
        <w:top w:val="none" w:sz="0" w:space="0" w:color="auto"/>
        <w:left w:val="none" w:sz="0" w:space="0" w:color="auto"/>
        <w:bottom w:val="none" w:sz="0" w:space="0" w:color="auto"/>
        <w:right w:val="none" w:sz="0" w:space="0" w:color="auto"/>
      </w:divBdr>
    </w:div>
    <w:div w:id="1377656814">
      <w:bodyDiv w:val="1"/>
      <w:marLeft w:val="0"/>
      <w:marRight w:val="0"/>
      <w:marTop w:val="0"/>
      <w:marBottom w:val="0"/>
      <w:divBdr>
        <w:top w:val="none" w:sz="0" w:space="0" w:color="auto"/>
        <w:left w:val="none" w:sz="0" w:space="0" w:color="auto"/>
        <w:bottom w:val="none" w:sz="0" w:space="0" w:color="auto"/>
        <w:right w:val="none" w:sz="0" w:space="0" w:color="auto"/>
      </w:divBdr>
    </w:div>
    <w:div w:id="1696541161">
      <w:bodyDiv w:val="1"/>
      <w:marLeft w:val="0"/>
      <w:marRight w:val="0"/>
      <w:marTop w:val="0"/>
      <w:marBottom w:val="0"/>
      <w:divBdr>
        <w:top w:val="none" w:sz="0" w:space="0" w:color="auto"/>
        <w:left w:val="none" w:sz="0" w:space="0" w:color="auto"/>
        <w:bottom w:val="none" w:sz="0" w:space="0" w:color="auto"/>
        <w:right w:val="none" w:sz="0" w:space="0" w:color="auto"/>
      </w:divBdr>
    </w:div>
    <w:div w:id="1763449666">
      <w:bodyDiv w:val="1"/>
      <w:marLeft w:val="0"/>
      <w:marRight w:val="0"/>
      <w:marTop w:val="0"/>
      <w:marBottom w:val="0"/>
      <w:divBdr>
        <w:top w:val="none" w:sz="0" w:space="0" w:color="auto"/>
        <w:left w:val="none" w:sz="0" w:space="0" w:color="auto"/>
        <w:bottom w:val="none" w:sz="0" w:space="0" w:color="auto"/>
        <w:right w:val="none" w:sz="0" w:space="0" w:color="auto"/>
      </w:divBdr>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180">
      <w:bodyDiv w:val="1"/>
      <w:marLeft w:val="0"/>
      <w:marRight w:val="0"/>
      <w:marTop w:val="0"/>
      <w:marBottom w:val="0"/>
      <w:divBdr>
        <w:top w:val="none" w:sz="0" w:space="0" w:color="auto"/>
        <w:left w:val="none" w:sz="0" w:space="0" w:color="auto"/>
        <w:bottom w:val="none" w:sz="0" w:space="0" w:color="auto"/>
        <w:right w:val="none" w:sz="0" w:space="0" w:color="auto"/>
      </w:divBdr>
    </w:div>
    <w:div w:id="1879776652">
      <w:bodyDiv w:val="1"/>
      <w:marLeft w:val="0"/>
      <w:marRight w:val="0"/>
      <w:marTop w:val="0"/>
      <w:marBottom w:val="0"/>
      <w:divBdr>
        <w:top w:val="none" w:sz="0" w:space="0" w:color="auto"/>
        <w:left w:val="none" w:sz="0" w:space="0" w:color="auto"/>
        <w:bottom w:val="none" w:sz="0" w:space="0" w:color="auto"/>
        <w:right w:val="none" w:sz="0" w:space="0" w:color="auto"/>
      </w:divBdr>
    </w:div>
    <w:div w:id="1923181654">
      <w:bodyDiv w:val="1"/>
      <w:marLeft w:val="0"/>
      <w:marRight w:val="0"/>
      <w:marTop w:val="0"/>
      <w:marBottom w:val="0"/>
      <w:divBdr>
        <w:top w:val="none" w:sz="0" w:space="0" w:color="auto"/>
        <w:left w:val="none" w:sz="0" w:space="0" w:color="auto"/>
        <w:bottom w:val="none" w:sz="0" w:space="0" w:color="auto"/>
        <w:right w:val="none" w:sz="0" w:space="0" w:color="auto"/>
      </w:divBdr>
      <w:divsChild>
        <w:div w:id="1819179797">
          <w:marLeft w:val="0"/>
          <w:marRight w:val="0"/>
          <w:marTop w:val="0"/>
          <w:marBottom w:val="0"/>
          <w:divBdr>
            <w:top w:val="none" w:sz="0" w:space="0" w:color="auto"/>
            <w:left w:val="none" w:sz="0" w:space="0" w:color="auto"/>
            <w:bottom w:val="none" w:sz="0" w:space="0" w:color="auto"/>
            <w:right w:val="none" w:sz="0" w:space="0" w:color="auto"/>
          </w:divBdr>
        </w:div>
      </w:divsChild>
    </w:div>
    <w:div w:id="1998876613">
      <w:bodyDiv w:val="1"/>
      <w:marLeft w:val="0"/>
      <w:marRight w:val="0"/>
      <w:marTop w:val="0"/>
      <w:marBottom w:val="0"/>
      <w:divBdr>
        <w:top w:val="none" w:sz="0" w:space="0" w:color="auto"/>
        <w:left w:val="none" w:sz="0" w:space="0" w:color="auto"/>
        <w:bottom w:val="none" w:sz="0" w:space="0" w:color="auto"/>
        <w:right w:val="none" w:sz="0" w:space="0" w:color="auto"/>
      </w:divBdr>
      <w:divsChild>
        <w:div w:id="197198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maa\Desktop\Assignments\Winter%202018\MEM%20410\Individual%20Homework\HW%203\Credit%20Performanc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maa\Desktop\Assignments\Winter%202018\MEM%20410\Individual%20Homework\HW%203\Credit%20Performanc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umaa\Desktop\Assignments\Winter%202018\MEM%20410\Individual%20Homework\HW%203\City%20of%20Chicago%20-%20Homicid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Probability of Defaulters -2014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'Preliminary Analysis'!$B$11</c:f>
              <c:strCache>
                <c:ptCount val="1"/>
                <c:pt idx="0">
                  <c:v>Probability of Defaulters</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'Preliminary Analysis'!$A$12:$A$13</c:f>
              <c:strCache>
                <c:ptCount val="2"/>
                <c:pt idx="0">
                  <c:v>No</c:v>
                </c:pt>
                <c:pt idx="1">
                  <c:v>Yes</c:v>
                </c:pt>
              </c:strCache>
            </c:strRef>
          </c:cat>
          <c:val>
            <c:numRef>
              <c:f>'Preliminary Analysis'!$B$12:$B$13</c:f>
              <c:numCache>
                <c:formatCode>0%</c:formatCode>
                <c:ptCount val="2"/>
                <c:pt idx="0">
                  <c:v>0.125</c:v>
                </c:pt>
                <c:pt idx="1">
                  <c:v>3.2258064516129031E-2</c:v>
                </c:pt>
              </c:numCache>
            </c:numRef>
          </c:val>
          <c:extLst>
            <c:ext xmlns:c16="http://schemas.microsoft.com/office/drawing/2014/chart" uri="{C3380CC4-5D6E-409C-BE32-E72D297353CC}">
              <c16:uniqueId val="{00000000-399F-4928-89D9-5B0A306AFBBD}"/>
            </c:ext>
          </c:extLst>
        </c:ser>
        <c:dLbls>
          <c:dLblPos val="ctr"/>
          <c:showLegendKey val="0"/>
          <c:showVal val="1"/>
          <c:showCatName val="0"/>
          <c:showSerName val="0"/>
          <c:showPercent val="0"/>
          <c:showBubbleSize val="0"/>
        </c:dLbls>
        <c:gapWidth val="150"/>
        <c:overlap val="100"/>
        <c:axId val="206788096"/>
        <c:axId val="206789632"/>
      </c:barChart>
      <c:catAx>
        <c:axId val="2067880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e-Statement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789632"/>
        <c:crosses val="autoZero"/>
        <c:auto val="1"/>
        <c:lblAlgn val="ctr"/>
        <c:lblOffset val="100"/>
        <c:noMultiLvlLbl val="0"/>
      </c:catAx>
      <c:valAx>
        <c:axId val="20678963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7880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[Credit Performance Data.xlsx]Sheet2!PivotTable1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Charge off</a:t>
            </a:r>
            <a:r>
              <a:rPr lang="en-US" baseline="0"/>
              <a:t> distribution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Sheet2!$C$4:$C$5</c:f>
              <c:strCache>
                <c:ptCount val="1"/>
                <c:pt idx="0">
                  <c:v>No</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Sheet2!$A$6:$B$12</c:f>
              <c:multiLvlStrCache>
                <c:ptCount val="6"/>
                <c:lvl>
                  <c:pt idx="0">
                    <c:v>2009</c:v>
                  </c:pt>
                  <c:pt idx="1">
                    <c:v>2011</c:v>
                  </c:pt>
                  <c:pt idx="2">
                    <c:v>2012</c:v>
                  </c:pt>
                  <c:pt idx="3">
                    <c:v>2013</c:v>
                  </c:pt>
                  <c:pt idx="4">
                    <c:v>2014</c:v>
                  </c:pt>
                  <c:pt idx="5">
                    <c:v>2015</c:v>
                  </c:pt>
                </c:lvl>
                <c:lvl>
                  <c:pt idx="0">
                    <c:v>Charge Off</c:v>
                  </c:pt>
                </c:lvl>
              </c:multiLvlStrCache>
            </c:multiLvlStrRef>
          </c:cat>
          <c:val>
            <c:numRef>
              <c:f>Sheet2!$C$6:$C$12</c:f>
              <c:numCache>
                <c:formatCode>General</c:formatCode>
                <c:ptCount val="6"/>
                <c:pt idx="2">
                  <c:v>2</c:v>
                </c:pt>
                <c:pt idx="3">
                  <c:v>4</c:v>
                </c:pt>
                <c:pt idx="4">
                  <c:v>3</c:v>
                </c:pt>
                <c:pt idx="5">
                  <c:v>3</c:v>
                </c:pt>
              </c:numCache>
            </c:numRef>
          </c:val>
          <c:extLst>
            <c:ext xmlns:c16="http://schemas.microsoft.com/office/drawing/2014/chart" uri="{C3380CC4-5D6E-409C-BE32-E72D297353CC}">
              <c16:uniqueId val="{00000000-3FA5-40A4-BA78-C1BEB74C22A8}"/>
            </c:ext>
          </c:extLst>
        </c:ser>
        <c:ser>
          <c:idx val="1"/>
          <c:order val="1"/>
          <c:tx>
            <c:strRef>
              <c:f>Sheet2!$D$4:$D$5</c:f>
              <c:strCache>
                <c:ptCount val="1"/>
                <c:pt idx="0">
                  <c:v>Yes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Sheet2!$A$6:$B$12</c:f>
              <c:multiLvlStrCache>
                <c:ptCount val="6"/>
                <c:lvl>
                  <c:pt idx="0">
                    <c:v>2009</c:v>
                  </c:pt>
                  <c:pt idx="1">
                    <c:v>2011</c:v>
                  </c:pt>
                  <c:pt idx="2">
                    <c:v>2012</c:v>
                  </c:pt>
                  <c:pt idx="3">
                    <c:v>2013</c:v>
                  </c:pt>
                  <c:pt idx="4">
                    <c:v>2014</c:v>
                  </c:pt>
                  <c:pt idx="5">
                    <c:v>2015</c:v>
                  </c:pt>
                </c:lvl>
                <c:lvl>
                  <c:pt idx="0">
                    <c:v>Charge Off</c:v>
                  </c:pt>
                </c:lvl>
              </c:multiLvlStrCache>
            </c:multiLvlStrRef>
          </c:cat>
          <c:val>
            <c:numRef>
              <c:f>Sheet2!$D$6:$D$12</c:f>
              <c:numCache>
                <c:formatCode>General</c:formatCode>
                <c:ptCount val="6"/>
                <c:pt idx="0">
                  <c:v>1</c:v>
                </c:pt>
                <c:pt idx="1">
                  <c:v>2</c:v>
                </c:pt>
                <c:pt idx="3">
                  <c:v>1</c:v>
                </c:pt>
                <c:pt idx="4">
                  <c:v>1</c:v>
                </c:pt>
                <c:pt idx="5">
                  <c:v>7</c:v>
                </c:pt>
              </c:numCache>
            </c:numRef>
          </c:val>
          <c:extLst>
            <c:ext xmlns:c16="http://schemas.microsoft.com/office/drawing/2014/chart" uri="{C3380CC4-5D6E-409C-BE32-E72D297353CC}">
              <c16:uniqueId val="{00000001-3FA5-40A4-BA78-C1BEB74C22A8}"/>
            </c:ext>
          </c:extLst>
        </c:ser>
        <c:dLbls>
          <c:dLblPos val="inEnd"/>
          <c:showLegendKey val="0"/>
          <c:showVal val="1"/>
          <c:showCatName val="0"/>
          <c:showSerName val="0"/>
          <c:showPercent val="0"/>
          <c:showBubbleSize val="0"/>
        </c:dLbls>
        <c:gapWidth val="65"/>
        <c:axId val="414734176"/>
        <c:axId val="414734504"/>
      </c:barChart>
      <c:catAx>
        <c:axId val="41473417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14734504"/>
        <c:crosses val="autoZero"/>
        <c:auto val="1"/>
        <c:lblAlgn val="ctr"/>
        <c:lblOffset val="100"/>
        <c:noMultiLvlLbl val="0"/>
      </c:catAx>
      <c:valAx>
        <c:axId val="41473450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1473417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Concerned Districts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Sheet2!$B$36</c:f>
              <c:strCache>
                <c:ptCount val="1"/>
                <c:pt idx="0">
                  <c:v>% Incr in Homicide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Sheet2!$A$37:$A$58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14</c:v>
                </c:pt>
                <c:pt idx="13">
                  <c:v>15</c:v>
                </c:pt>
                <c:pt idx="14">
                  <c:v>16</c:v>
                </c:pt>
                <c:pt idx="15">
                  <c:v>17</c:v>
                </c:pt>
                <c:pt idx="16">
                  <c:v>18</c:v>
                </c:pt>
                <c:pt idx="17">
                  <c:v>19</c:v>
                </c:pt>
                <c:pt idx="18">
                  <c:v>20</c:v>
                </c:pt>
                <c:pt idx="19">
                  <c:v>22</c:v>
                </c:pt>
                <c:pt idx="20">
                  <c:v>24</c:v>
                </c:pt>
                <c:pt idx="21">
                  <c:v>25</c:v>
                </c:pt>
              </c:numCache>
            </c:numRef>
          </c:cat>
          <c:val>
            <c:numRef>
              <c:f>Sheet2!$B$37:$B$58</c:f>
              <c:numCache>
                <c:formatCode>0%</c:formatCode>
                <c:ptCount val="22"/>
                <c:pt idx="0">
                  <c:v>0.8</c:v>
                </c:pt>
                <c:pt idx="1">
                  <c:v>0.30434782608695654</c:v>
                </c:pt>
                <c:pt idx="2">
                  <c:v>0.56000000000000005</c:v>
                </c:pt>
                <c:pt idx="3">
                  <c:v>0.37931034482758619</c:v>
                </c:pt>
                <c:pt idx="4">
                  <c:v>0.46666666666666667</c:v>
                </c:pt>
                <c:pt idx="5">
                  <c:v>0.41463414634146339</c:v>
                </c:pt>
                <c:pt idx="6">
                  <c:v>1.1794871794871795</c:v>
                </c:pt>
                <c:pt idx="7">
                  <c:v>0.93333333333333335</c:v>
                </c:pt>
                <c:pt idx="8">
                  <c:v>1.0625</c:v>
                </c:pt>
                <c:pt idx="9">
                  <c:v>0.6333333333333333</c:v>
                </c:pt>
                <c:pt idx="10">
                  <c:v>0.89795918367346939</c:v>
                </c:pt>
                <c:pt idx="11">
                  <c:v>0.36842105263157893</c:v>
                </c:pt>
                <c:pt idx="12">
                  <c:v>-0.16666666666666666</c:v>
                </c:pt>
                <c:pt idx="13">
                  <c:v>0.875</c:v>
                </c:pt>
                <c:pt idx="14">
                  <c:v>-0.2</c:v>
                </c:pt>
                <c:pt idx="15">
                  <c:v>-0.23076923076923078</c:v>
                </c:pt>
                <c:pt idx="16">
                  <c:v>4</c:v>
                </c:pt>
                <c:pt idx="17">
                  <c:v>-0.1111111111111111</c:v>
                </c:pt>
                <c:pt idx="18">
                  <c:v>-0.5714285714285714</c:v>
                </c:pt>
                <c:pt idx="19">
                  <c:v>0.13636363636363635</c:v>
                </c:pt>
                <c:pt idx="20">
                  <c:v>0.2</c:v>
                </c:pt>
                <c:pt idx="21">
                  <c:v>0.15151515151515152</c:v>
                </c:pt>
              </c:numCache>
            </c:numRef>
          </c:val>
          <c:extLst>
            <c:ext xmlns:c16="http://schemas.microsoft.com/office/drawing/2014/chart" uri="{C3380CC4-5D6E-409C-BE32-E72D297353CC}">
              <c16:uniqueId val="{00000000-6F93-42EC-B72F-3BD36D2FA2C8}"/>
            </c:ext>
          </c:extLst>
        </c:ser>
        <c:ser>
          <c:idx val="1"/>
          <c:order val="1"/>
          <c:tx>
            <c:strRef>
              <c:f>Sheet2!$C$36</c:f>
              <c:strCache>
                <c:ptCount val="1"/>
                <c:pt idx="0">
                  <c:v>Decline in Arrest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Sheet2!$A$37:$A$58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14</c:v>
                </c:pt>
                <c:pt idx="13">
                  <c:v>15</c:v>
                </c:pt>
                <c:pt idx="14">
                  <c:v>16</c:v>
                </c:pt>
                <c:pt idx="15">
                  <c:v>17</c:v>
                </c:pt>
                <c:pt idx="16">
                  <c:v>18</c:v>
                </c:pt>
                <c:pt idx="17">
                  <c:v>19</c:v>
                </c:pt>
                <c:pt idx="18">
                  <c:v>20</c:v>
                </c:pt>
                <c:pt idx="19">
                  <c:v>22</c:v>
                </c:pt>
                <c:pt idx="20">
                  <c:v>24</c:v>
                </c:pt>
                <c:pt idx="21">
                  <c:v>25</c:v>
                </c:pt>
              </c:numCache>
            </c:numRef>
          </c:cat>
          <c:val>
            <c:numRef>
              <c:f>Sheet2!$C$37:$C$58</c:f>
              <c:numCache>
                <c:formatCode>0%</c:formatCode>
                <c:ptCount val="22"/>
                <c:pt idx="0">
                  <c:v>0.28888888888888886</c:v>
                </c:pt>
                <c:pt idx="1">
                  <c:v>0.17246376811594205</c:v>
                </c:pt>
                <c:pt idx="2">
                  <c:v>-0.13230769230769229</c:v>
                </c:pt>
                <c:pt idx="3">
                  <c:v>6.8103448275862094E-2</c:v>
                </c:pt>
                <c:pt idx="4">
                  <c:v>-0.13939393939393938</c:v>
                </c:pt>
                <c:pt idx="5">
                  <c:v>-9.1673675357443238E-2</c:v>
                </c:pt>
                <c:pt idx="6">
                  <c:v>-7.9939668174962258E-2</c:v>
                </c:pt>
                <c:pt idx="7">
                  <c:v>-0.14252873563218388</c:v>
                </c:pt>
                <c:pt idx="8">
                  <c:v>-4.0719696969696961E-2</c:v>
                </c:pt>
                <c:pt idx="9">
                  <c:v>-0.21836734693877552</c:v>
                </c:pt>
                <c:pt idx="10">
                  <c:v>-0.13517665130568354</c:v>
                </c:pt>
                <c:pt idx="11">
                  <c:v>-0.20040485829959512</c:v>
                </c:pt>
                <c:pt idx="12">
                  <c:v>-0.48333333333333339</c:v>
                </c:pt>
                <c:pt idx="13">
                  <c:v>-0.13333333333333333</c:v>
                </c:pt>
                <c:pt idx="14">
                  <c:v>-0.30000000000000004</c:v>
                </c:pt>
                <c:pt idx="15">
                  <c:v>3.8461538461538436E-2</c:v>
                </c:pt>
                <c:pt idx="16">
                  <c:v>-0.8</c:v>
                </c:pt>
                <c:pt idx="17">
                  <c:v>-0.19444444444444442</c:v>
                </c:pt>
                <c:pt idx="18">
                  <c:v>-0.5714285714285714</c:v>
                </c:pt>
                <c:pt idx="19">
                  <c:v>-0.33454545454545453</c:v>
                </c:pt>
                <c:pt idx="20">
                  <c:v>-0.16666666666666669</c:v>
                </c:pt>
                <c:pt idx="21">
                  <c:v>-6.6188197767145157E-2</c:v>
                </c:pt>
              </c:numCache>
            </c:numRef>
          </c:val>
          <c:extLst>
            <c:ext xmlns:c16="http://schemas.microsoft.com/office/drawing/2014/chart" uri="{C3380CC4-5D6E-409C-BE32-E72D297353CC}">
              <c16:uniqueId val="{00000001-6F93-42EC-B72F-3BD36D2FA2C8}"/>
            </c:ext>
          </c:extLst>
        </c:ser>
        <c:dLbls>
          <c:dLblPos val="inEnd"/>
          <c:showLegendKey val="0"/>
          <c:showVal val="1"/>
          <c:showCatName val="0"/>
          <c:showSerName val="0"/>
          <c:showPercent val="0"/>
          <c:showBubbleSize val="0"/>
        </c:dLbls>
        <c:gapWidth val="115"/>
        <c:overlap val="-20"/>
        <c:axId val="351492856"/>
        <c:axId val="355374416"/>
      </c:barChart>
      <c:catAx>
        <c:axId val="351492856"/>
        <c:scaling>
          <c:orientation val="minMax"/>
        </c:scaling>
        <c:delete val="0"/>
        <c:axPos val="l"/>
        <c:numFmt formatCode="General" sourceLinked="1"/>
        <c:majorTickMark val="none"/>
        <c:minorTickMark val="none"/>
        <c:tickLblPos val="low"/>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355374416"/>
        <c:crosses val="autoZero"/>
        <c:auto val="1"/>
        <c:lblAlgn val="ctr"/>
        <c:lblOffset val="100"/>
        <c:noMultiLvlLbl val="0"/>
      </c:catAx>
      <c:valAx>
        <c:axId val="355374416"/>
        <c:scaling>
          <c:orientation val="minMax"/>
        </c:scaling>
        <c:delete val="1"/>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crossAx val="351492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Homework #2</vt:lpstr>
    </vt:vector>
  </TitlesOfParts>
  <Company>Havi Global Solutions</Company>
  <LinksUpToDate>false</LinksUpToDate>
  <CharactersWithSpaces>7007</CharactersWithSpaces>
  <SharedDoc>false</SharedDoc>
  <HLinks>
    <vt:vector size="30" baseType="variant">
      <vt:variant>
        <vt:i4>1769552</vt:i4>
      </vt:variant>
      <vt:variant>
        <vt:i4>12</vt:i4>
      </vt:variant>
      <vt:variant>
        <vt:i4>0</vt:i4>
      </vt:variant>
      <vt:variant>
        <vt:i4>5</vt:i4>
      </vt:variant>
      <vt:variant>
        <vt:lpwstr>http://www.google.com/analytics/</vt:lpwstr>
      </vt:variant>
      <vt:variant>
        <vt:lpwstr/>
      </vt:variant>
      <vt:variant>
        <vt:i4>5898329</vt:i4>
      </vt:variant>
      <vt:variant>
        <vt:i4>9</vt:i4>
      </vt:variant>
      <vt:variant>
        <vt:i4>0</vt:i4>
      </vt:variant>
      <vt:variant>
        <vt:i4>5</vt:i4>
      </vt:variant>
      <vt:variant>
        <vt:lpwstr>http://www.plumberscrib.com/</vt:lpwstr>
      </vt:variant>
      <vt:variant>
        <vt:lpwstr/>
      </vt:variant>
      <vt:variant>
        <vt:i4>4522060</vt:i4>
      </vt:variant>
      <vt:variant>
        <vt:i4>6</vt:i4>
      </vt:variant>
      <vt:variant>
        <vt:i4>0</vt:i4>
      </vt:variant>
      <vt:variant>
        <vt:i4>5</vt:i4>
      </vt:variant>
      <vt:variant>
        <vt:lpwstr>http://www.tanklessking.com/</vt:lpwstr>
      </vt:variant>
      <vt:variant>
        <vt:lpwstr/>
      </vt:variant>
      <vt:variant>
        <vt:i4>3473469</vt:i4>
      </vt:variant>
      <vt:variant>
        <vt:i4>3</vt:i4>
      </vt:variant>
      <vt:variant>
        <vt:i4>0</vt:i4>
      </vt:variant>
      <vt:variant>
        <vt:i4>5</vt:i4>
      </vt:variant>
      <vt:variant>
        <vt:lpwstr>http://www.b-eye-network.com/blogs/eckerson/archives/2011/07/what_is_analyti.php</vt:lpwstr>
      </vt:variant>
      <vt:variant>
        <vt:lpwstr/>
      </vt:variant>
      <vt:variant>
        <vt:i4>1900610</vt:i4>
      </vt:variant>
      <vt:variant>
        <vt:i4>0</vt:i4>
      </vt:variant>
      <vt:variant>
        <vt:i4>0</vt:i4>
      </vt:variant>
      <vt:variant>
        <vt:i4>5</vt:i4>
      </vt:variant>
      <vt:variant>
        <vt:lpwstr>http://optimizationandanalytics.wordpress.com/2012/09/11/analytics_part_ii/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Ruma anand</cp:lastModifiedBy>
  <cp:revision>7</cp:revision>
  <cp:lastPrinted>2018-02-16T02:30:00Z</cp:lastPrinted>
  <dcterms:created xsi:type="dcterms:W3CDTF">2018-02-16T00:55:00Z</dcterms:created>
  <dcterms:modified xsi:type="dcterms:W3CDTF">2018-02-16T02:30:00Z</dcterms:modified>
</cp:coreProperties>
</file>