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Impactos gerais causados por incêndios selvagens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Apenas nos Estados Unidos são registrados cerca de 100 mil casos de incêndios selvagens todos os anos atingindo uma área total de aproximadamente 9 milhões de acres. Além deles causarem grande destruição na vegetação, liberando grande quantidade de CO² na atmosfera matam uma grande quantidade de animais e também afetam pequenas comunidades que vivem em áreas florestais, causando danos também aos seres humanos, destruindo suas casas, gerando ferimentos e também tirando vidas. O governo dos Estados Unidos fez um estudo no estado da Florida e estimou o estrago dos incêndios selvagens teve um impacto econômico negativo de aproximadamente 880 milhões de dólares onde 69% deste valor é atribuído a madeira de corte que ficou inutilizada, 11% para combate ao fogo, 3% com alívio de desastres, 1% em perda de propriedades e 16% na evasão de turistas por conta dos riscos de incêndio.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Todos estes dados representam os estragos causados apenas nos Estados Unidos, imagine o que se perde somando todos os outros países, tudo isso gerado pelos incêndios selvagens. Quantas pessoas e animais morrem e sofrem ferimentos? Quanta madeira de qualidade é perdida? Quanto a economia mundial perde com estas queimadas? Estas perguntas só alimentam o fato de que é necessário fazer algo urgentemente para solucionar este problema ou então descobrir quando ele acontece da maneira mais rápida possível.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color w:val="1155cc"/>
          <w:u w:val="singl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https://fireadaptednetwork.org/wp-content/uploads/2014/03/economic_costs_of_wildfires.pdf</w:t>
        </w:r>
      </w:hyperlink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color w:val="1155cc"/>
          <w:u w:val="single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http://www.conserve-energy-future.com/causes-effects-and-solutions-of-wildfires.php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ireadaptednetwork.org/wp-content/uploads/2014/03/economic_costs_of_wildfires.pdf" TargetMode="External"/><Relationship Id="rId6" Type="http://schemas.openxmlformats.org/officeDocument/2006/relationships/hyperlink" Target="https://fireadaptednetwork.org/wp-content/uploads/2014/03/economic_costs_of_wildfires.pdf" TargetMode="External"/><Relationship Id="rId7" Type="http://schemas.openxmlformats.org/officeDocument/2006/relationships/hyperlink" Target="http://www.conserve-energy-future.com/causes-effects-and-solutions-of-wildfires.php" TargetMode="External"/></Relationships>
</file>