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Σταθερός ρυθμός με έλεγχο ποιότητας ανά γλώσσα</w:t>
            </w:r>
          </w:p>
        </w:tc>
      </w:tr>
    </w:tbl>
    <w:p>
      <w:r>
        <w:rPr>
          <w:b w:val="0"/>
        </w:rPr>
        <w:t>Ενοικίαση GPU vs ιδιόκτητο — κόστος &amp; VRAM (ενδεικτικά):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Επιλογή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T4 (16GB, Lightning AI)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~$0,2–0,7/ώρα · 24/7 ≈ $150–500/μήνα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L4 (24GB, Lightning AI)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~$0,7–1,1/ώρα · 24/7 ≈ $500–800/μήνα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A100 80GB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~$2–3/ώρα — υψηλό μηνιαίο κόστος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DGX Spark — ιδιόκτητο (128GB unified, ~100GB+ διαθέσιμη VRAM)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εφάπαξ €6.000 → ~€0/μήνα μετά</w:t>
            </w:r>
          </w:p>
        </w:tc>
      </w:tr>
    </w:tbl>
    <w:p>
      <w:r>
        <w:rPr>
          <w:b w:val="0"/>
        </w:rPr>
        <w:t>Η λογική: με ενοικίαση το μηνιαίο κόστος ξεπερνά τον εξοπλισμό μέσα σε λίγους μήνες — και το πρόσωπο/φωνή του Φειδία ανεβαίνουν σε τρίτο cloud. Με το Spark, όλα μένουν στο γραφείο της ομάδας.</w:t>
      </w:r>
    </w:p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€2.900 μικτά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Κλίμακα παραγωγής: από shorts σε πλήρη επεισόδια podcast · πολλές γλώσσες παράλληλα · έλεγχος ποιότητας ανά γλώσσα.</w:t>
      </w:r>
    </w:p>
    <w:p>
      <w:r>
        <w:rPr>
          <w:b w:val="0"/>
        </w:rPr>
        <w:t>Όλα μεταγλωττίστηκαν με AI voice cloning από πραγματικό υλικό του Φειδία και συγχρονίστηκαν τοπικά — το υλικό δεν έφυγε ποτέ από τα χέρια της ομάδας.</w:t>
      </w:r>
    </w:p>
    <w:p>
      <w:r>
        <w:rPr>
          <w:b w:val="0"/>
        </w:rPr>
        <w:t>Στη σελίδα του live demo υπάρχει και δείγμα ποιότητας: το ίδιο απόσπασμα σε δύο εκδοχές (τρέχουσα και αναβαθμισμένη) για σύγκριση.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