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60"/>
        <w:jc w:val="left"/>
      </w:pPr>
      <w:r>
        <w:rPr>
          <w:rFonts w:ascii="Cambria" w:cs="Cambria" w:eastAsia="Cambria" w:hAnsi="Cambria"/>
          <w:b/>
          <w:bCs/>
          <w:color w:val="21295C"/>
          <w:sz w:val="46"/>
          <w:szCs w:val="46"/>
        </w:rPr>
        <w:t xml:space="preserve">AUTONOMOUS ROBOTIC CHEMIST</w:t>
      </w:r>
    </w:p>
    <w:p>
      <w:pPr>
        <w:spacing w:after="300"/>
      </w:pPr>
      <w:r>
        <w:rPr>
          <w:rFonts w:ascii="Calibri" w:cs="Calibri" w:eastAsia="Calibri" w:hAnsi="Calibri"/>
          <w:color w:val="065A82"/>
          <w:sz w:val="26"/>
          <w:szCs w:val="26"/>
        </w:rPr>
        <w:t xml:space="preserve">Extending PLATO to Closed-Loop Wet-Chemistry Manipulation</w:t>
      </w:r>
    </w:p>
    <w:p>
      <w:pPr>
        <w:pBdr>
          <w:bottom w:val="single" w:color="1C7293" w:sz="12" w:space="8"/>
        </w:pBdr>
        <w:spacing w:after="300"/>
      </w:pPr>
    </w:p>
    <w:p>
      <w:pPr>
        <w:spacing w:after="60"/>
      </w:pPr>
      <w:r>
        <w:rPr>
          <w:color w:val="5B6B7F"/>
          <w:sz w:val="21"/>
          <w:szCs w:val="21"/>
        </w:rPr>
        <w:t xml:space="preserve">A research plan and proof-of-concept protocol</w:t>
      </w:r>
    </w:p>
    <w:p>
      <w:pPr>
        <w:spacing w:after="700"/>
      </w:pPr>
      <w:r>
        <w:rPr>
          <w:color w:val="5B6B7F"/>
          <w:sz w:val="21"/>
          <w:szCs w:val="21"/>
        </w:rPr>
        <w:t xml:space="preserve">Barati Farimani Lab — Carnegie Mellon University</w:t>
      </w:r>
    </w:p>
    <w:p>
      <w:pPr>
        <w:pStyle w:val="Heading1"/>
        <w:spacing w:after="160" w:before="360"/>
      </w:pPr>
      <w:r>
        <w:t xml:space="preserve">1. Framing and Novelty Argument</w:t>
      </w:r>
    </w:p>
    <w:p>
      <w:pPr>
        <w:spacing w:after="160"/>
      </w:pPr>
      <w:r>
        <w:t xml:space="preserve">PLATO (Car, Yarlagadda, Bartsch, George, Barati Farimani — CMU) already solves the core hard problem this project needs: a modular LLM-agent stack (scene understanding → high-level task planning → tool-affordance prediction → low-level action generation → step verification) running on a Franka Emika Panda, tested on long-horizon tool-manipulation tasks without hard-coded scene knowledge.</w:t>
      </w:r>
    </w:p>
    <w:p>
      <w:pPr>
        <w:spacing w:after="160"/>
      </w:pPr>
      <w:r>
        <w:t xml:space="preserve">The gap PLATO doesn't currently close is closed-loop wet-chemistry manipulation with visually-verifiable chemical outcomes — pouring variable-viscosity liquids and powders, mixing in the correct order/ratio, and reading a chemical result back into the planner as a verification signal rather than just checking whether the gripper reached the target pose.</w:t>
      </w:r>
    </w:p>
    <w:p>
      <w:pPr>
        <w:spacing w:after="160"/>
      </w:pPr>
      <w:r>
        <w:t xml:space="preserve">This is a natural, low-risk testbed because the National Geographic Magic Chemistry Set (NGSCIMAGIC) reagents are all food-grade / non-hazardous. No PPE, ventilation, or hazardous-material handling is required — this lets the paper's contribution focus on the agentic/manipulation problem, not chemical safety engineering, while still producing genuinely novel closed-loop verification data (color/gas/volume change as a reward-like signal for an LLM planner).</w:t>
      </w:r>
    </w:p>
    <w:tbl>
      <w:tblPr>
        <w:tblW w:type="dxa" w:w="9360"/>
        <w:tblBorders>
          <w:top w:val="single" w:color="D8DEE4" w:sz="2"/>
          <w:left w:val="single" w:color="D8DEE4" w:sz="2"/>
          <w:bottom w:val="single" w:color="D8DEE4" w:sz="2"/>
          <w:right w:val="single" w:color="D8DEE4" w:sz="2"/>
          <w:insideH w:val="single" w:color="D8DEE4" w:sz="2"/>
          <w:insideV w:val="single" w:color="D8DEE4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300"/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Kit Component</w:t>
            </w:r>
          </w:p>
        </w:tc>
        <w:tc>
          <w:tcPr>
            <w:tcW w:type="dxa" w:w="5060"/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 in Protocol</w:t>
            </w:r>
          </w:p>
        </w:tc>
      </w:tr>
      <w:tr>
        <w:tc>
          <w:tcPr>
            <w:tcW w:type="dxa" w:w="43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Sodium bicarbonate</w:t>
            </w:r>
          </w:p>
        </w:tc>
        <w:tc>
          <w:tcPr>
            <w:tcW w:type="dxa" w:w="506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Base reagent, effervescence trigger</w:t>
            </w:r>
          </w:p>
        </w:tc>
      </w:tr>
      <w:tr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Citric acid</w:t>
            </w:r>
          </w:p>
        </w:tc>
        <w:tc>
          <w:tcPr>
            <w:tcW w:type="dxa" w:w="5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Acid reagent, effervescence trigger</w:t>
            </w:r>
          </w:p>
        </w:tc>
      </w:tr>
      <w:tr>
        <w:tc>
          <w:tcPr>
            <w:tcW w:type="dxa" w:w="43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Red cabbage powder (indicator)</w:t>
            </w:r>
          </w:p>
        </w:tc>
        <w:tc>
          <w:tcPr>
            <w:tcW w:type="dxa" w:w="506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Visual pH indicator (pink/red = acidic, green/blue = basic)</w:t>
            </w:r>
          </w:p>
        </w:tc>
      </w:tr>
      <w:tr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Instant snow powder</w:t>
            </w:r>
          </w:p>
        </w:tc>
        <w:tc>
          <w:tcPr>
            <w:tcW w:type="dxa" w:w="5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Superabsorbent polymer — volume-expansion manipulation task</w:t>
            </w:r>
          </w:p>
        </w:tc>
      </w:tr>
      <w:tr>
        <w:tc>
          <w:tcPr>
            <w:tcW w:type="dxa" w:w="43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Hydrophobic sand</w:t>
            </w:r>
          </w:p>
        </w:tc>
        <w:tc>
          <w:tcPr>
            <w:tcW w:type="dxa" w:w="506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Granular material manipulation + a “control” reagent that should visibly not react with water</w:t>
            </w:r>
          </w:p>
        </w:tc>
      </w:tr>
      <w:tr>
        <w:tc>
          <w:tcPr>
            <w:tcW w:type="dxa" w:w="4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Beaker, pipette, clear cups, paper cups, measuring implements</w:t>
            </w:r>
          </w:p>
        </w:tc>
        <w:tc>
          <w:tcPr>
            <w:tcW w:type="dxa" w:w="5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Manipulation targets of varying affordance (graspable, pourable, dispensable)</w:t>
            </w:r>
          </w:p>
        </w:tc>
      </w:tr>
      <w:tr>
        <w:tc>
          <w:tcPr>
            <w:tcW w:type="dxa" w:w="43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pH indicator paper</w:t>
            </w:r>
          </w:p>
        </w:tc>
        <w:tc>
          <w:tcPr>
            <w:tcW w:type="dxa" w:w="506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Secondary, low-cost ground-truth verification channel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1C7293" w:sz="4"/>
          <w:left w:val="single" w:color="1C7293" w:sz="4"/>
          <w:bottom w:val="single" w:color="1C7293" w:sz="4"/>
          <w:right w:val="single" w:color="1C7293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C7293"/>
                <w:sz w:val="21"/>
                <w:szCs w:val="21"/>
              </w:rPr>
              <w:t xml:space="preserve">One-line contribution:  </w:t>
            </w:r>
            <w:r>
              <w:rPr>
                <w:i/>
                <w:iCs/>
                <w:color w:val="1A1A1A"/>
                <w:sz w:val="21"/>
                <w:szCs w:val="21"/>
              </w:rPr>
              <w:t xml:space="preserve">We extend PLATO's tool-manipulation framework with a chemistry-outcome verification agent, enabling a Franka Panda arm to autonomously plan, execute, and visually verify multi-step wet-chemistry experiments under scene variation, without hard-coded knowledge of reagent identity or container layout.</w:t>
            </w:r>
          </w:p>
        </w:tc>
      </w:tr>
    </w:tbl>
    <w:p>
      <w:pPr>
        <w:pStyle w:val="Heading1"/>
        <w:spacing w:after="160" w:before="360"/>
      </w:pPr>
      <w:r>
        <w:t xml:space="preserve">2. System Architecture</w:t>
      </w:r>
    </w:p>
    <w:p>
      <w:pPr>
        <w:spacing w:after="160"/>
      </w:pPr>
      <w:r>
        <w:t xml:space="preserve">This project extends PLATO's existing agents with one new capability: reading a chemical outcome back into the planning loop.</w:t>
      </w:r>
    </w:p>
    <w:p>
      <w:pPr>
        <w:pStyle w:val="Heading2"/>
        <w:spacing w:after="120" w:before="280"/>
      </w:pPr>
      <w:r>
        <w:t xml:space="preserve">2.1 Scene Understanding Agent (existing, reused)</w:t>
      </w:r>
    </w:p>
    <w:p>
      <w:pPr>
        <w:spacing w:after="160"/>
      </w:pPr>
      <w:r>
        <w:t xml:space="preserve">Identifies containers, reagents, and tools in the workspace via vision-language grounding; the object vocabulary/prompts need to be extended to include beakers, cups, powders, and pipettes.</w:t>
      </w:r>
    </w:p>
    <w:p>
      <w:pPr>
        <w:pStyle w:val="Heading2"/>
        <w:spacing w:after="120" w:before="280"/>
      </w:pPr>
      <w:r>
        <w:t xml:space="preserve">2.2 High-Level Planner Agent (existing, reused)</w:t>
      </w:r>
    </w:p>
    <w:p>
      <w:pPr>
        <w:spacing w:after="160"/>
      </w:pPr>
      <w:r>
        <w:t xml:space="preserve">Given a natural-language goal (e.g., “turn the cabbage indicator green”), generates an ordered sub-task plan (e.g., pour indicator → add base → observe).</w:t>
      </w:r>
    </w:p>
    <w:p>
      <w:pPr>
        <w:pStyle w:val="Heading2"/>
        <w:spacing w:after="120" w:before="280"/>
      </w:pPr>
      <w:r>
        <w:t xml:space="preserve">2.3 Affordance / Tool-Use Agent (existing, reused)</w:t>
      </w:r>
    </w:p>
    <w:p>
      <w:pPr>
        <w:spacing w:after="160"/>
      </w:pPr>
      <w:r>
        <w:t xml:space="preserve">Maps each sub-task to a grasp/pour/dispense primitive and the correct tool (pipette for drops, cup for pouring, spoon/scoop for powder).</w:t>
      </w:r>
    </w:p>
    <w:p>
      <w:pPr>
        <w:pStyle w:val="Heading2"/>
        <w:spacing w:after="120" w:before="280"/>
      </w:pPr>
      <w:r>
        <w:t xml:space="preserve">2.4 Low-Level Action Generation (existing, reused)</w:t>
      </w:r>
    </w:p>
    <w:p>
      <w:pPr>
        <w:spacing w:after="160"/>
      </w:pPr>
      <w:r>
        <w:t xml:space="preserve">Franka Panda joint/end-effector trajectories for grasp, pour, dispense, and stir.</w:t>
      </w:r>
    </w:p>
    <w:p>
      <w:pPr>
        <w:pStyle w:val="Heading2"/>
        <w:spacing w:after="120" w:before="280"/>
      </w:pPr>
      <w:r>
        <w:t xml:space="preserve">2.5 Chemistry Outcome Verification Agent (NEW)</w:t>
      </w:r>
    </w:p>
    <w:p>
      <w:pPr>
        <w:spacing w:after="160"/>
      </w:pPr>
      <w:r>
        <w:t xml:space="preserve">A vision-based module that checks for the chemical success condition: color classification against a reference palette for the cabbage indicator; bubble/foam detection via optical flow or frame-differencing for the acid–base reaction; liquid-level/volume change detection for the instant-snow swelling. Feeds a success/failure signal back to the Planner Agent for replanning (e.g., “add more acid, color hasn't shifted”) — this is the genuinely new capability the paper demonstrates.</w:t>
      </w:r>
    </w:p>
    <w:p>
      <w:pPr>
        <w:pStyle w:val="Heading2"/>
        <w:spacing w:after="120" w:before="280"/>
      </w:pPr>
      <w:r>
        <w:t xml:space="preserve">2.6 Logging / Data Agent (NEW, lightweight)</w:t>
      </w:r>
    </w:p>
    <w:p>
      <w:pPr>
        <w:spacing w:after="160"/>
      </w:pPr>
      <w:r>
        <w:t xml:space="preserve">Timestamps each sub-task and saves before/after frames and the verification signal, for the results section (success rate, replanning count, time-to-completion).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Milestones (M0–M6)</w:t>
      </w:r>
    </w:p>
    <w:tbl>
      <w:tblPr>
        <w:tblW w:type="dxa" w:w="9360"/>
        <w:tblBorders>
          <w:top w:val="single" w:color="D8DEE4" w:sz="2"/>
          <w:left w:val="single" w:color="D8DEE4" w:sz="2"/>
          <w:bottom w:val="single" w:color="D8DEE4" w:sz="2"/>
          <w:right w:val="single" w:color="D8DEE4" w:sz="2"/>
          <w:insideH w:val="single" w:color="D8DEE4" w:sz="2"/>
          <w:insideV w:val="single" w:color="D8DEE4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3700"/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3760"/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Exit Criterion</w:t>
            </w:r>
          </w:p>
        </w:tc>
      </w:tr>
      <w:tr>
        <w:tc>
          <w:tcPr>
            <w:tcW w:type="dxa" w:w="19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M0 — Environment setup</w:t>
            </w:r>
          </w:p>
        </w:tc>
        <w:tc>
          <w:tcPr>
            <w:tcW w:type="dxa" w:w="37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Mount kit components in the Franka workspace; calibrate camera(s); build reagent/container vocabulary</w:t>
            </w:r>
          </w:p>
        </w:tc>
        <w:tc>
          <w:tcPr>
            <w:tcW w:type="dxa" w:w="376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Agent correctly identifies ≥90% of kit objects across 10 random layouts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M1 — Manipulation primitive calibration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Validate grasp, pour, and pipette-dispense primitives in isolation</w:t>
            </w:r>
          </w:p>
        </w:tc>
        <w:tc>
          <w:tcPr>
            <w:tcW w:type="dxa" w:w="3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Each primitive succeeds ≥8/10 trials without spillage beyond tolerance</w:t>
            </w:r>
          </w:p>
        </w:tc>
      </w:tr>
      <w:tr>
        <w:tc>
          <w:tcPr>
            <w:tcW w:type="dxa" w:w="19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M2 — Single-step chemistry task</w:t>
            </w:r>
          </w:p>
        </w:tc>
        <w:tc>
          <w:tcPr>
            <w:tcW w:type="dxa" w:w="37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Autonomous single reagent transfer + outcome read</w:t>
            </w:r>
          </w:p>
        </w:tc>
        <w:tc>
          <w:tcPr>
            <w:tcW w:type="dxa" w:w="376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Correct color classification ≥90% across lighting/position variation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M3 — Two-step reactive task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Full acid–base or indicator-color-change experiment end-to-end, planner-generated</w:t>
            </w:r>
          </w:p>
        </w:tc>
        <w:tc>
          <w:tcPr>
            <w:tcW w:type="dxa" w:w="3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≥80% success rate over 15 trials; correct outcome reported</w:t>
            </w:r>
          </w:p>
        </w:tc>
      </w:tr>
      <w:tr>
        <w:tc>
          <w:tcPr>
            <w:tcW w:type="dxa" w:w="19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M4 — Closed-loop replanning</w:t>
            </w:r>
          </w:p>
        </w:tc>
        <w:tc>
          <w:tcPr>
            <w:tcW w:type="dxa" w:w="37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Introduce a perturbation; require Verification Agent to trigger a corrective replan</w:t>
            </w:r>
          </w:p>
        </w:tc>
        <w:tc>
          <w:tcPr>
            <w:tcW w:type="dxa" w:w="376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≥70% of perturbed trials recover without human intervention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M5 — Scene-variation robustness</w:t>
            </w:r>
          </w:p>
        </w:tc>
        <w:tc>
          <w:tcPr>
            <w:tcW w:type="dxa" w:w="3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Repeat M3–M4 under randomized position, lighting, distractors</w:t>
            </w:r>
          </w:p>
        </w:tc>
        <w:tc>
          <w:tcPr>
            <w:tcW w:type="dxa" w:w="3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Success rate drop ≤15 percentage points vs. fixed-scene baseline</w:t>
            </w:r>
          </w:p>
        </w:tc>
      </w:tr>
      <w:tr>
        <w:tc>
          <w:tcPr>
            <w:tcW w:type="dxa" w:w="19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M6 — Data collection + write-up</w:t>
            </w:r>
          </w:p>
        </w:tc>
        <w:tc>
          <w:tcPr>
            <w:tcW w:type="dxa" w:w="37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Run full experiment matrix (Section 4) for N≥15 per condition</w:t>
            </w:r>
          </w:p>
        </w:tc>
        <w:tc>
          <w:tcPr>
            <w:tcW w:type="dxa" w:w="376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Dataset and figures ready for Results section; draft complete</w:t>
            </w:r>
          </w:p>
        </w:tc>
      </w:tr>
    </w:tbl>
    <w:p>
      <w:pPr>
        <w:spacing w:after="160"/>
      </w:pPr>
      <w:r>
        <w:rPr>
          <w:i/>
          <w:iCs/>
          <w:color w:val="5B6B7F"/>
        </w:rPr>
        <w:t xml:space="preserve">Suggested pace: M0–M1 (1–2 weeks), M2 (1 week), M3 (1–2 weeks), M4 (1–2 weeks), M5 (1 week), M6 (1–2 weeks) — roughly a 6–10 week proof-of-concept arc, compressible if the PLATO stack needs minimal modification.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Step-by-Step Experimental Protocol</w:t>
      </w:r>
    </w:p>
    <w:p>
      <w:pPr>
        <w:spacing w:after="160"/>
      </w:pPr>
      <w:r>
        <w:t xml:space="preserve">Each experiment below is designed to be planner-generated from a natural-language goal, not scripted — the point of the paper is that the LLM planner decomposes the goal itself using the Scene Understanding and Affordance agents. What's fixed is the evaluation protocol, not the plan.</w:t>
      </w:r>
    </w:p>
    <w:p>
      <w:pPr>
        <w:pStyle w:val="Heading2"/>
        <w:spacing w:after="120" w:before="280"/>
      </w:pPr>
      <w:r>
        <w:t xml:space="preserve">Experiment A — pH Indicator Color-Change (primary demo)</w:t>
      </w:r>
    </w:p>
    <w:p>
      <w:pPr>
        <w:spacing w:after="160"/>
      </w:pPr>
      <w:r>
        <w:rPr>
          <w:i/>
          <w:iCs/>
        </w:rPr>
        <w:t xml:space="preserve">Goal prompt: “Turn the cabbage indicator solution basic (blue/green).”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Scene Understanding Agent identifies: cup of prepared red-cabbage indicator solution, sodium bicarbonate container, measuring scoop, pipette.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Planner generates sub-tasks: (a) scoop a measured amount of sodium bicarbonate, (b) add to indicator cup, (c) stir/agitate if needed, (d) capture verification frame.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Franka executes scoop → pour → (optional) stir trajectory.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Verification Agent samples the cup's color via a reference-swatch classifier (pink/purple = acidic/neutral, blue/green = basic) and reports success/failure.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failure (no visible shift), Planner Agent re-invokes steps (a)–(c) with an incremented reagent amount — this is the headline closed-loop result.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 with citric acid instead of sodium bicarbonate to demonstrate the acidic direction (indicator turns pink/red), showing the system generalizes the procedure rather than memorizing one reagent.</w:t>
      </w:r>
    </w:p>
    <w:p>
      <w:pPr>
        <w:spacing w:after="160"/>
      </w:pPr>
      <w:r>
        <w:rPr>
          <w:b/>
          <w:bCs/>
          <w:color w:val="065A82"/>
        </w:rPr>
        <w:t xml:space="preserve">Verification signal: reference-swatch color classifier on the cup.</w:t>
      </w:r>
    </w:p>
    <w:p>
      <w:pPr>
        <w:pStyle w:val="Heading2"/>
        <w:spacing w:after="120" w:before="280"/>
      </w:pPr>
      <w:r>
        <w:t xml:space="preserve">Experiment B — Acid–Base Effervescence (gas-evolution verification)</w:t>
      </w:r>
    </w:p>
    <w:p>
      <w:pPr>
        <w:spacing w:after="160"/>
      </w:pPr>
      <w:r>
        <w:rPr>
          <w:i/>
          <w:iCs/>
        </w:rPr>
        <w:t xml:space="preserve">Goal prompt: “Produce a fizzing reaction using the chemistry kit.”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Planner must identify citric acid + sodium bicarbonate + water as the required combination — a genuine planning step, not a single pour.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Sequence: dispense water into cup → add citric acid → add sodium bicarbonate (or reverse order, both work) → observe.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Verification Agent detects effervescence via frame-differencing/optical flow (bubble motion) over a short observation window — demonstrating generalization across modalities (color vs. motion).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Failure mode to test deliberately: omit water (reagents won't dissolve/react) — confirm the system detects “no reaction” and replans to add the missing step.</w:t>
      </w:r>
    </w:p>
    <w:p>
      <w:pPr>
        <w:spacing w:after="160"/>
      </w:pPr>
      <w:r>
        <w:rPr>
          <w:b/>
          <w:bCs/>
          <w:color w:val="065A82"/>
        </w:rPr>
        <w:t xml:space="preserve">Verification signal: motion-based bubble/foam detection.</w:t>
      </w:r>
    </w:p>
    <w:p>
      <w:pPr>
        <w:pStyle w:val="Heading2"/>
        <w:spacing w:after="120" w:before="280"/>
      </w:pPr>
      <w:r>
        <w:t xml:space="preserve">Experiment C — Granular / Powder Manipulation (instant snow)</w:t>
      </w:r>
    </w:p>
    <w:p>
      <w:pPr>
        <w:spacing w:after="160"/>
      </w:pPr>
      <w:r>
        <w:rPr>
          <w:i/>
          <w:iCs/>
        </w:rPr>
        <w:t xml:space="preserve">Goal prompt: “Make the powder expand into snow.”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Tests a manipulation primitive PLATO wasn't originally evaluated on: controlled powder dispensing followed by liquid addition to a granular material.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Verification Agent measures volume/height change in the cup (pixel-height delta from a fixed camera angle) as the success signal.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Useful positive-transformation counterpart to the negative control in Experiment D.</w:t>
      </w:r>
    </w:p>
    <w:p>
      <w:pPr>
        <w:spacing w:after="160"/>
      </w:pPr>
      <w:r>
        <w:rPr>
          <w:b/>
          <w:bCs/>
          <w:color w:val="065A82"/>
        </w:rPr>
        <w:t xml:space="preserve">Verification signal: pixel-height / volume delta.</w:t>
      </w:r>
    </w:p>
    <w:p>
      <w:pPr>
        <w:pStyle w:val="Heading2"/>
        <w:spacing w:after="120" w:before="280"/>
      </w:pPr>
      <w:r>
        <w:t xml:space="preserve">Experiment D — Negative Control (hydrophobic sand)</w:t>
      </w:r>
    </w:p>
    <w:p>
      <w:pPr>
        <w:spacing w:after="160"/>
      </w:pPr>
      <w:r>
        <w:rPr>
          <w:i/>
          <w:iCs/>
        </w:rPr>
        <w:t xml:space="preserve">Goal prompt: “Show that this sand does not get wet.”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Planner must recognize this as a demonstration/verification goal rather than a transformation goal — the correct action is to add water and confirm the sand stays dry/separates, not to “fix” a non-reaction.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Stress-tests whether the Verification Agent (and the Planner's interpretation of “success”) can distinguish “no reaction happened, and that's correct” from “no reaction happened, and that's a failure” — a subtlety worth a paragraph in the Discussion section, since most agentic-manipulation papers only test for positive-outcome success.</w:t>
      </w:r>
    </w:p>
    <w:p>
      <w:pPr>
        <w:spacing w:after="160"/>
      </w:pPr>
      <w:r>
        <w:rPr>
          <w:b/>
          <w:bCs/>
          <w:color w:val="065A82"/>
        </w:rPr>
        <w:t xml:space="preserve">Verification signal: confirms absence of wetting/color change is the expected, correct outcome.</w:t>
      </w:r>
    </w:p>
    <w:p>
      <w:pPr>
        <w:pStyle w:val="Heading2"/>
        <w:spacing w:after="120" w:before="280"/>
      </w:pPr>
      <w:r>
        <w:t xml:space="preserve">Cross-Cutting Evaluation Protocol (applies to A–D)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 = 15–20 trials per experiment, split across: (i) fixed scene layout, (ii) randomized container position (±10 cm), (iii) randomized lighting (2–3 conditions), (iv) added distractor objects (unused kit items in-frame).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Metrics logged per trial: end-to-end success (binary), number of replanning iterations, time-to-completion, manipulation sub-failures (spill, missed grasp, pour miss) vs. planning sub-failures (wrong reagent/order chosen), verification-agent accuracy vs. ground truth (pH paper strip reading logged manually for Experiments A/B).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Baseline for comparison: a hard-coded/scripted version of the same four experiments (no LLM planner, fixed trajectories), run under conditions (ii)–(iv) only, to show the core claim: the LLM-agent approach degrades less under scene variation than a scripted baseline. This comparison is what turns the proof-of-concept into a publishable result rather than a demo.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Suggested Paper Outline</w:t>
      </w:r>
    </w:p>
    <w:tbl>
      <w:tblPr>
        <w:tblW w:type="dxa" w:w="9360"/>
        <w:tblBorders>
          <w:top w:val="single" w:color="D8DEE4" w:sz="2"/>
          <w:left w:val="single" w:color="D8DEE4" w:sz="2"/>
          <w:bottom w:val="single" w:color="D8DEE4" w:sz="2"/>
          <w:right w:val="single" w:color="D8DEE4" w:sz="2"/>
          <w:insideH w:val="single" w:color="D8DEE4" w:sz="2"/>
          <w:insideV w:val="single" w:color="D8DEE4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600"/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6060"/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Contents</w:t>
            </w:r>
          </w:p>
        </w:tc>
      </w:tr>
      <w:tr>
        <w:tc>
          <w:tcPr>
            <w:tcW w:type="dxa" w:w="7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Abstract</w:t>
            </w:r>
          </w:p>
        </w:tc>
        <w:tc>
          <w:tcPr>
            <w:tcW w:type="dxa" w:w="606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One-line contribution + headline result (e.g., success % under scene variation vs. scripted baseline)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Introduction</w:t>
            </w:r>
          </w:p>
        </w:tc>
        <w:tc>
          <w:tcPr>
            <w:tcW w:type="dxa" w:w="6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Motivate autonomous experimentation; contrast against structured self-driving-lab systems (e.g., A-Lab, RoboChem-style), which typically assume pre-mapped labware</w:t>
            </w:r>
          </w:p>
        </w:tc>
      </w:tr>
      <w:tr>
        <w:tc>
          <w:tcPr>
            <w:tcW w:type="dxa" w:w="7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Related Work</w:t>
            </w:r>
          </w:p>
        </w:tc>
        <w:tc>
          <w:tcPr>
            <w:tcW w:type="dxa" w:w="606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PLATO and prior LLM-agent manipulation papers; self-driving-lab / autonomous-chemistry literature; hard-coded liquid-handling robots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Method</w:t>
            </w:r>
          </w:p>
        </w:tc>
        <w:tc>
          <w:tcPr>
            <w:tcW w:type="dxa" w:w="6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Section 2 architecture, emphasizing the new Chemistry Outcome Verification Agent as the delta over base PLATO</w:t>
            </w:r>
          </w:p>
        </w:tc>
      </w:tr>
      <w:tr>
        <w:tc>
          <w:tcPr>
            <w:tcW w:type="dxa" w:w="7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Experimental Setup</w:t>
            </w:r>
          </w:p>
        </w:tc>
        <w:tc>
          <w:tcPr>
            <w:tcW w:type="dxa" w:w="606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Hardware (Franka Panda + camera rig), kit reagents/containers, safety notes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Experiments &amp; Results</w:t>
            </w:r>
          </w:p>
        </w:tc>
        <w:tc>
          <w:tcPr>
            <w:tcW w:type="dxa" w:w="6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Experiments A–D with cross-cutting metrics; scripted-baseline comparison; Verification Agent ablation (with vs. without closed-loop replanning)</w:t>
            </w:r>
          </w:p>
        </w:tc>
      </w:tr>
      <w:tr>
        <w:tc>
          <w:tcPr>
            <w:tcW w:type="dxa" w:w="7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dxa" w:w="260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Discussion</w:t>
            </w:r>
          </w:p>
        </w:tc>
        <w:tc>
          <w:tcPr>
            <w:tcW w:type="dxa" w:w="6060"/>
            <w:shd w:fill="F7F9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Experiment D's “successful non-reaction” framing; failure-mode analysis (perception vs. planning vs. execution); limitations (kit-scale, non-hazardous reagents only)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Conclusion &amp; Future Work</w:t>
            </w:r>
          </w:p>
        </w:tc>
        <w:tc>
          <w:tcPr>
            <w:tcW w:type="dxa" w:w="6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Path toward standard lab glassware/instruments, multi-agent lab teams, and analytical verification (e.g., pH meter integration) beyond visual color/motion cues</w:t>
            </w:r>
          </w:p>
        </w:tc>
      </w:tr>
    </w:tbl>
    <w:p>
      <w:pPr>
        <w:spacing w:before="240"/>
      </w:pPr>
    </w:p>
    <w:p>
      <w:pPr>
        <w:pStyle w:val="Heading1"/>
        <w:spacing w:after="160" w:before="360"/>
      </w:pPr>
      <w:r>
        <w:t xml:space="preserve">6. Immediate Next Actions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which camera setup is being used with the Franka rig (single overhead vs. wrist-mounted + overhead) — this affects how the Verification Agent is built and should be locked in before M0.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whether the Scene Understanding Agent's object vocabulary needs retraining/re-prompting for the new object classes (beaker, pipette, powder scoop) or whether PLATO's existing grounding generalizes zero-shot — worth a quick pilot test before committing to the M0 timeline.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Prepare the reference color-swatch set for the cabbage-indicator classifier (a handful of reference photos under actual lab lighting) — cheapest, fastest thing to do in parallel with hardware setup.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F"/>
        <w:sz w:val="16"/>
        <w:szCs w:val="16"/>
      </w:rPr>
      <w:t xml:space="preserve">Page </w:t>
    </w:r>
    <w:r>
      <w:rPr>
        <w:color w:val="5B6B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7F"/>
        <w:sz w:val="16"/>
        <w:szCs w:val="16"/>
      </w:rPr>
      <w:t xml:space="preserve">Autonomous Robotic Chemist — Research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C7293" w:sz="6" w:space="4"/>
      </w:pBdr>
      <w:spacing w:after="160" w:before="360"/>
    </w:pPr>
    <w:rPr>
      <w:rFonts w:ascii="Cambria" w:cs="Cambria" w:eastAsia="Cambria" w:hAnsi="Cambria"/>
      <w:b/>
      <w:bCs/>
      <w:color w:val="2129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mbria" w:cs="Cambria" w:eastAsia="Cambria" w:hAnsi="Cambria"/>
      <w:b/>
      <w:bCs/>
      <w:color w:val="065A8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2026-09-03T01:08:53.781Z</dcterms:created>
  <dcterms:modified xsi:type="dcterms:W3CDTF">2026-09-03T01:08:53.782Z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