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Relevant Guidelines for Pregnancy Case Scenarios</w:t>
      </w:r>
    </w:p>
    <w:p>
      <w:r>
        <w:t xml:space="preserve"/>
      </w:r>
    </w:p>
    <w:p>
      <w:pPr>
        <w:pStyle w:val="Heading2"/>
      </w:pPr>
      <w:r>
        <w:t xml:space="preserve">Case 1: 24-year-old with Epilepsy on Lamotrigine, 16 Weeks Pregnant</w:t>
      </w:r>
    </w:p>
    <w:p>
      <w:pPr>
        <w:pStyle w:val="Heading3"/>
      </w:pPr>
      <w:r>
        <w:t xml:space="preserve">Relevant Guidelines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NICE Guideline NG217: Epilepsies in children, young people and adults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RCOG Green-top Guideline No. 68: Epilepsy in Pregnancy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MHRA guidance on antiepileptic drugs in pregnancy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Maternal Antenatal Screening Tests Guidelines (Project file: 202512191144050)</w:t>
      </w:r>
    </w:p>
    <w:p>
      <w:pPr>
        <w:pStyle w:val="Heading3"/>
      </w:pPr>
      <w:r>
        <w:t xml:space="preserve">Key Management Points</w:t>
      </w:r>
    </w:p>
    <w:p>
      <w:pPr>
        <w:pStyle w:val="ListParagraph"/>
        <w:numPr>
          <w:ilvl w:val="0"/>
          <w:numId w:val="2"/>
        </w:numPr>
      </w:pPr>
      <w:r>
        <w:t xml:space="preserve">Consultant-led antenatal care with neurology and obstetrics input</w:t>
      </w:r>
    </w:p>
    <w:p>
      <w:pPr>
        <w:pStyle w:val="ListParagraph"/>
        <w:numPr>
          <w:ilvl w:val="0"/>
          <w:numId w:val="2"/>
        </w:numPr>
      </w:pPr>
      <w:r>
        <w:t xml:space="preserve">Lamotrigine is relatively safer than valproate - risk of major congenital malformations &lt;3% at doses &lt;325mg/day</w:t>
      </w:r>
    </w:p>
    <w:p>
      <w:pPr>
        <w:pStyle w:val="ListParagraph"/>
        <w:numPr>
          <w:ilvl w:val="0"/>
          <w:numId w:val="2"/>
        </w:numPr>
      </w:pPr>
      <w:r>
        <w:t xml:space="preserve">Monitor lamotrigine levels - pregnancy can reduce levels requiring dose adjustment</w:t>
      </w:r>
    </w:p>
    <w:p>
      <w:pPr>
        <w:pStyle w:val="ListParagraph"/>
        <w:numPr>
          <w:ilvl w:val="0"/>
          <w:numId w:val="2"/>
        </w:numPr>
      </w:pPr>
      <w:r>
        <w:t xml:space="preserve">Serial fetal growth scans for detection of small-for-gestational-age babies</w:t>
      </w:r>
    </w:p>
    <w:p>
      <w:pPr>
        <w:pStyle w:val="ListParagraph"/>
        <w:numPr>
          <w:ilvl w:val="0"/>
          <w:numId w:val="2"/>
        </w:numPr>
      </w:pPr>
      <w:r>
        <w:t xml:space="preserve">Enhanced fetal anomaly scan at 18-20 weeks for cardiac defects and neural tube defects</w:t>
      </w:r>
    </w:p>
    <w:p>
      <w:pPr>
        <w:pStyle w:val="ListParagraph"/>
        <w:numPr>
          <w:ilvl w:val="0"/>
          <w:numId w:val="2"/>
        </w:numPr>
      </w:pPr>
      <w:r>
        <w:t xml:space="preserve">Folic acid 5mg daily (should have been started pre-conception)</w:t>
      </w:r>
    </w:p>
    <w:p>
      <w:pPr>
        <w:pStyle w:val="ListParagraph"/>
        <w:numPr>
          <w:ilvl w:val="0"/>
          <w:numId w:val="2"/>
        </w:numPr>
      </w:pPr>
      <w:r>
        <w:t xml:space="preserve">Vitamin K 10mg daily in last month of pregnancy if on enzyme-inducing AEDs (lamotrigine is not enzyme-inducing)</w:t>
      </w:r>
    </w:p>
    <w:p>
      <w:pPr>
        <w:pStyle w:val="ListParagraph"/>
        <w:numPr>
          <w:ilvl w:val="0"/>
          <w:numId w:val="2"/>
        </w:numPr>
      </w:pPr>
      <w:r>
        <w:t xml:space="preserve">Return medications to pre-conception doses postpartum</w:t>
      </w:r>
    </w:p>
    <w:p>
      <w:pPr>
        <w:pStyle w:val="ListParagraph"/>
        <w:numPr>
          <w:ilvl w:val="0"/>
          <w:numId w:val="2"/>
        </w:numPr>
      </w:pPr>
      <w:r>
        <w:t xml:space="preserve">Most will have uncomplicated labour - epilepsy alone not indication for caesarean section</w:t>
      </w:r>
    </w:p>
    <w:p>
      <w:pPr>
        <w:pStyle w:val="ListParagraph"/>
        <w:numPr>
          <w:ilvl w:val="0"/>
          <w:numId w:val="2"/>
        </w:numPr>
      </w:pPr>
      <w:r>
        <w:t xml:space="preserve">Risk of seizure in labour 1-2%, postnatally 1-2% in first 24 hours</w:t>
      </w:r>
    </w:p>
    <w:p>
      <w:r>
        <w:t xml:space="preserve"/>
      </w:r>
    </w:p>
    <w:p>
      <w:pPr>
        <w:pStyle w:val="Heading2"/>
      </w:pPr>
      <w:r>
        <w:t xml:space="preserve">Case 2: 40-year-old, BMI 35, Previous Caesarean at 34 Weeks for Small Baby, Now 28 Weeks</w:t>
      </w:r>
    </w:p>
    <w:p>
      <w:pPr>
        <w:pStyle w:val="Heading3"/>
      </w:pPr>
      <w:r>
        <w:t xml:space="preserve">Relevant Guidelines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NICE Guideline NG247: Maternal and child nutrition (2025)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RCOG Green-top Guideline No. 72: Care of Women with Obesity in Pregnancy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NICE Antenatal Care Guideline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RCOG Green-top Guideline No. 37a: Reducing the Risk of VTE in Pregnancy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Obstetric Ultrasound Protocol (Project file: 202507081315310)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Maternal Antenatal Screening Tests (Project file: 202512191144050)</w:t>
      </w:r>
    </w:p>
    <w:p>
      <w:pPr>
        <w:pStyle w:val="Heading3"/>
      </w:pPr>
      <w:r>
        <w:t xml:space="preserve">Key Management Points</w:t>
      </w:r>
    </w:p>
    <w:p>
      <w:pPr>
        <w:pStyle w:val="ListParagraph"/>
        <w:numPr>
          <w:ilvl w:val="0"/>
          <w:numId w:val="2"/>
        </w:numPr>
      </w:pPr>
      <w:r>
        <w:t xml:space="preserve">Consultant-led care (BMI ≥35)</w:t>
      </w:r>
    </w:p>
    <w:p>
      <w:pPr>
        <w:pStyle w:val="ListParagraph"/>
        <w:numPr>
          <w:ilvl w:val="0"/>
          <w:numId w:val="2"/>
        </w:numPr>
      </w:pPr>
      <w:r>
        <w:t xml:space="preserve">Advanced maternal age (≥40 years) - increased risk of chromosomal abnormalities, pre-eclampsia, gestational diabetes</w:t>
      </w:r>
    </w:p>
    <w:p>
      <w:pPr>
        <w:pStyle w:val="ListParagraph"/>
        <w:numPr>
          <w:ilvl w:val="0"/>
          <w:numId w:val="2"/>
        </w:numPr>
      </w:pPr>
      <w:r>
        <w:t xml:space="preserve">BMI 35 - screen for gestational diabetes (at booking if BMI ≥30)</w:t>
      </w:r>
    </w:p>
    <w:p>
      <w:pPr>
        <w:pStyle w:val="ListParagraph"/>
        <w:numPr>
          <w:ilvl w:val="0"/>
          <w:numId w:val="2"/>
        </w:numPr>
      </w:pPr>
      <w:r>
        <w:t xml:space="preserve">Serial fetal growth scans for recurrent risk of fetal growth restriction - consider growth scans at 28 and 32 weeks</w:t>
      </w:r>
    </w:p>
    <w:p>
      <w:pPr>
        <w:pStyle w:val="ListParagraph"/>
        <w:numPr>
          <w:ilvl w:val="0"/>
          <w:numId w:val="2"/>
        </w:numPr>
      </w:pPr>
      <w:r>
        <w:t xml:space="preserve">VTE risk assessment - BMI ≥35 is a risk factor requiring consideration for thromboprophylaxis</w:t>
      </w:r>
    </w:p>
    <w:p>
      <w:pPr>
        <w:pStyle w:val="ListParagraph"/>
        <w:numPr>
          <w:ilvl w:val="0"/>
          <w:numId w:val="2"/>
        </w:numPr>
      </w:pPr>
      <w:r>
        <w:t xml:space="preserve">Monitor blood pressure and urine for pre-eclampsia (risk 2-4 times higher with BMI ≥30)</w:t>
      </w:r>
    </w:p>
    <w:p>
      <w:pPr>
        <w:pStyle w:val="ListParagraph"/>
        <w:numPr>
          <w:ilvl w:val="0"/>
          <w:numId w:val="2"/>
        </w:numPr>
      </w:pPr>
      <w:r>
        <w:t xml:space="preserve">Consider aspirin 75-150mg from 12 weeks if risk factors for pre-eclampsia</w:t>
      </w:r>
    </w:p>
    <w:p>
      <w:pPr>
        <w:pStyle w:val="ListParagraph"/>
        <w:numPr>
          <w:ilvl w:val="0"/>
          <w:numId w:val="2"/>
        </w:numPr>
      </w:pPr>
      <w:r>
        <w:t xml:space="preserve">Vitamin D supplementation recommended</w:t>
      </w:r>
    </w:p>
    <w:p>
      <w:pPr>
        <w:pStyle w:val="ListParagraph"/>
        <w:numPr>
          <w:ilvl w:val="0"/>
          <w:numId w:val="2"/>
        </w:numPr>
      </w:pPr>
      <w:r>
        <w:t xml:space="preserve">Previous preterm caesarean section may indicate underlying placental issues</w:t>
      </w:r>
    </w:p>
    <w:p>
      <w:pPr>
        <w:pStyle w:val="ListParagraph"/>
        <w:numPr>
          <w:ilvl w:val="0"/>
          <w:numId w:val="2"/>
        </w:numPr>
      </w:pPr>
      <w:r>
        <w:t xml:space="preserve">Risk assessment for postnatal thromboprophylaxis - will likely need LMWH for 6 weeks postpartum</w:t>
      </w:r>
    </w:p>
    <w:p>
      <w:r>
        <w:t xml:space="preserve"/>
      </w:r>
    </w:p>
    <w:p>
      <w:pPr>
        <w:pStyle w:val="Heading2"/>
      </w:pPr>
      <w:r>
        <w:t xml:space="preserve">Case 3: 29-year-old with Previous Preterm Labour at 30 Weeks</w:t>
      </w:r>
    </w:p>
    <w:p>
      <w:pPr>
        <w:pStyle w:val="Heading3"/>
      </w:pPr>
      <w:r>
        <w:t xml:space="preserve">Relevant Guidelines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NICE Guideline NG25: Preterm Labour and Birth (2015, updated 2022)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UK Preterm Clinical Network Guidelines (2019)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Obstetric Ultrasound Protocol (Project file: 202507081315310)</w:t>
      </w:r>
    </w:p>
    <w:p>
      <w:pPr>
        <w:pStyle w:val="Heading3"/>
      </w:pPr>
      <w:r>
        <w:t xml:space="preserve">Key Management Points</w:t>
      </w:r>
    </w:p>
    <w:p>
      <w:pPr>
        <w:pStyle w:val="ListParagraph"/>
        <w:numPr>
          <w:ilvl w:val="0"/>
          <w:numId w:val="2"/>
        </w:numPr>
      </w:pPr>
      <w:r>
        <w:t xml:space="preserve">High risk for recurrent preterm birth - requires consultant-led care</w:t>
      </w:r>
    </w:p>
    <w:p>
      <w:pPr>
        <w:pStyle w:val="ListParagraph"/>
        <w:numPr>
          <w:ilvl w:val="0"/>
          <w:numId w:val="2"/>
        </w:numPr>
      </w:pPr>
      <w:r>
        <w:t xml:space="preserve">Consider referral to specialist preterm birth clinic</w:t>
      </w:r>
    </w:p>
    <w:p>
      <w:pPr>
        <w:pStyle w:val="ListParagraph"/>
        <w:numPr>
          <w:ilvl w:val="0"/>
          <w:numId w:val="2"/>
        </w:numPr>
      </w:pPr>
      <w:r>
        <w:t xml:space="preserve">Transvaginal ultrasound cervical length screening between 16-24 weeks</w:t>
      </w:r>
    </w:p>
    <w:p>
      <w:pPr>
        <w:pStyle w:val="ListParagraph"/>
        <w:numPr>
          <w:ilvl w:val="0"/>
          <w:numId w:val="2"/>
        </w:numPr>
      </w:pPr>
      <w:r>
        <w:t xml:space="preserve">If cervical length &lt;25mm and history of spontaneous preterm birth - offer prophylactic vaginal progesterone 200mg daily from 16 weeks until 34 weeks</w:t>
      </w:r>
    </w:p>
    <w:p>
      <w:pPr>
        <w:pStyle w:val="ListParagraph"/>
        <w:numPr>
          <w:ilvl w:val="0"/>
          <w:numId w:val="2"/>
        </w:numPr>
      </w:pPr>
      <w:r>
        <w:t xml:space="preserve">Consider prophylactic cervical cerclage if cervical length &lt;25mm, particularly if previous second trimester loss</w:t>
      </w:r>
    </w:p>
    <w:p>
      <w:pPr>
        <w:pStyle w:val="ListParagraph"/>
        <w:numPr>
          <w:ilvl w:val="0"/>
          <w:numId w:val="2"/>
        </w:numPr>
      </w:pPr>
      <w:r>
        <w:t xml:space="preserve">Serial fetal growth scans</w:t>
      </w:r>
    </w:p>
    <w:p>
      <w:pPr>
        <w:pStyle w:val="ListParagraph"/>
        <w:numPr>
          <w:ilvl w:val="0"/>
          <w:numId w:val="2"/>
        </w:numPr>
      </w:pPr>
      <w:r>
        <w:t xml:space="preserve">Educate about signs and symptoms of preterm labour</w:t>
      </w:r>
    </w:p>
    <w:p>
      <w:pPr>
        <w:pStyle w:val="ListParagraph"/>
        <w:numPr>
          <w:ilvl w:val="0"/>
          <w:numId w:val="2"/>
        </w:numPr>
      </w:pPr>
      <w:r>
        <w:t xml:space="preserve">If threatened preterm labour occurs - fetal fibronectin testing and/or cervical length measurement for diagnosis</w:t>
      </w:r>
    </w:p>
    <w:p>
      <w:pPr>
        <w:pStyle w:val="ListParagraph"/>
        <w:numPr>
          <w:ilvl w:val="0"/>
          <w:numId w:val="2"/>
        </w:numPr>
      </w:pPr>
      <w:r>
        <w:t xml:space="preserve">Steroids for fetal lung maturation if delivery anticipated between 24-34 weeks</w:t>
      </w:r>
    </w:p>
    <w:p>
      <w:pPr>
        <w:pStyle w:val="ListParagraph"/>
        <w:numPr>
          <w:ilvl w:val="0"/>
          <w:numId w:val="2"/>
        </w:numPr>
      </w:pPr>
      <w:r>
        <w:t xml:space="preserve">Magnesium sulfate for neuroprotection if birth anticipated &lt;30 weeks</w:t>
      </w:r>
    </w:p>
    <w:p>
      <w:pPr>
        <w:pStyle w:val="ListParagraph"/>
        <w:numPr>
          <w:ilvl w:val="0"/>
          <w:numId w:val="2"/>
        </w:numPr>
      </w:pPr>
      <w:r>
        <w:t xml:space="preserve">Smoking cessation advice - stopping early in pregnancy reduces risk to baseline</w:t>
      </w:r>
    </w:p>
    <w:p>
      <w:r>
        <w:t xml:space="preserve"/>
      </w:r>
    </w:p>
    <w:p>
      <w:pPr>
        <w:pStyle w:val="Heading2"/>
      </w:pPr>
      <w:r>
        <w:t xml:space="preserve">Case 4: 42-year-old, BMI 45, Para 2, Previous History of DVT</w:t>
      </w:r>
    </w:p>
    <w:p>
      <w:pPr>
        <w:pStyle w:val="Heading3"/>
      </w:pPr>
      <w:r>
        <w:t xml:space="preserve">Relevant Guidelines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RCOG Green-top Guideline No. 37a: Reducing the Risk of VTE in Pregnancy and Puerperium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RCOG Green-top Guideline No. 37b: Thrombosis and Embolism - Acute Management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RCOG Green-top Guideline No. 72: Care of Women with Obesity in Pregnancy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NICE Guideline NG247: Maternal and child nutrition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Maternal Antenatal Screening Tests (Project file: 202512191144050)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MEWS Early Recognition guideline (Project file: 202506241703290)</w:t>
      </w:r>
    </w:p>
    <w:p>
      <w:pPr>
        <w:pStyle w:val="Heading3"/>
      </w:pPr>
      <w:r>
        <w:t xml:space="preserve">Key Management Points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VERY HIGH RISK for VTE - multiple risk factors:</w:t>
      </w:r>
    </w:p>
    <w:p>
      <w:pPr>
        <w:pStyle w:val="ListParagraph"/>
        <w:numPr>
          <w:ilvl w:val="0"/>
          <w:numId w:val="2"/>
        </w:numPr>
      </w:pPr>
      <w:r>
        <w:t xml:space="preserve">  - Previous VTE (strongest individual risk factor)</w:t>
      </w:r>
    </w:p>
    <w:p>
      <w:pPr>
        <w:pStyle w:val="ListParagraph"/>
        <w:numPr>
          <w:ilvl w:val="0"/>
          <w:numId w:val="2"/>
        </w:numPr>
      </w:pPr>
      <w:r>
        <w:t xml:space="preserve">  - BMI 45 (severe obesity)</w:t>
      </w:r>
    </w:p>
    <w:p>
      <w:pPr>
        <w:pStyle w:val="ListParagraph"/>
        <w:numPr>
          <w:ilvl w:val="0"/>
          <w:numId w:val="2"/>
        </w:numPr>
      </w:pPr>
      <w:r>
        <w:t xml:space="preserve">  - Advanced maternal age (42 years)</w:t>
      </w:r>
    </w:p>
    <w:p>
      <w:pPr>
        <w:pStyle w:val="ListParagraph"/>
        <w:numPr>
          <w:ilvl w:val="0"/>
          <w:numId w:val="2"/>
        </w:numPr>
      </w:pPr>
      <w:r>
        <w:t xml:space="preserve">  - Parity ≥2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Thromboprophylaxis - ESSENTIAL throughout pregnancy:</w:t>
      </w:r>
    </w:p>
    <w:p>
      <w:pPr>
        <w:pStyle w:val="ListParagraph"/>
        <w:numPr>
          <w:ilvl w:val="0"/>
          <w:numId w:val="2"/>
        </w:numPr>
      </w:pPr>
      <w:r>
        <w:t xml:space="preserve">  - Women with previous VTE should be offered LMWH throughout antenatal period</w:t>
      </w:r>
    </w:p>
    <w:p>
      <w:pPr>
        <w:pStyle w:val="ListParagraph"/>
        <w:numPr>
          <w:ilvl w:val="0"/>
          <w:numId w:val="2"/>
        </w:numPr>
      </w:pPr>
      <w:r>
        <w:t xml:space="preserve">  - Weight-adjusted dosing required (BMI 45)</w:t>
      </w:r>
    </w:p>
    <w:p>
      <w:pPr>
        <w:pStyle w:val="ListParagraph"/>
        <w:numPr>
          <w:ilvl w:val="0"/>
          <w:numId w:val="2"/>
        </w:numPr>
      </w:pPr>
      <w:r>
        <w:t xml:space="preserve">  - Continue for minimum 6 weeks postpartum</w:t>
      </w:r>
    </w:p>
    <w:p>
      <w:pPr>
        <w:pStyle w:val="ListParagraph"/>
        <w:numPr>
          <w:ilvl w:val="0"/>
          <w:numId w:val="2"/>
        </w:numPr>
      </w:pPr>
      <w:r>
        <w:t xml:space="preserve">  - Start as early as practical in pregnancy</w:t>
      </w:r>
    </w:p>
    <w:p>
      <w:pPr>
        <w:pStyle w:val="ListParagraph"/>
        <w:numPr>
          <w:ilvl w:val="0"/>
          <w:numId w:val="2"/>
        </w:numPr>
      </w:pPr>
      <w:r>
        <w:t xml:space="preserve">Specialist haematology and obstetric medicine review required</w:t>
      </w:r>
    </w:p>
    <w:p>
      <w:pPr>
        <w:pStyle w:val="ListParagraph"/>
        <w:numPr>
          <w:ilvl w:val="0"/>
          <w:numId w:val="2"/>
        </w:numPr>
      </w:pPr>
      <w:r>
        <w:t xml:space="preserve">Consider thrombophilia screening if not previously done</w:t>
      </w:r>
    </w:p>
    <w:p>
      <w:pPr>
        <w:pStyle w:val="ListParagraph"/>
        <w:numPr>
          <w:ilvl w:val="0"/>
          <w:numId w:val="2"/>
        </w:numPr>
      </w:pPr>
      <w:r>
        <w:t xml:space="preserve">BMI 45 - referral to specialist obesity service recommended (BMI ≥40)</w:t>
      </w:r>
    </w:p>
    <w:p>
      <w:pPr>
        <w:pStyle w:val="ListParagraph"/>
        <w:numPr>
          <w:ilvl w:val="0"/>
          <w:numId w:val="2"/>
        </w:numPr>
      </w:pPr>
      <w:r>
        <w:t xml:space="preserve">High-dose folic acid 5mg daily (for obesity)</w:t>
      </w:r>
    </w:p>
    <w:p>
      <w:pPr>
        <w:pStyle w:val="ListParagraph"/>
        <w:numPr>
          <w:ilvl w:val="0"/>
          <w:numId w:val="2"/>
        </w:numPr>
      </w:pPr>
      <w:r>
        <w:t xml:space="preserve">Screen for gestational diabetes</w:t>
      </w:r>
    </w:p>
    <w:p>
      <w:pPr>
        <w:pStyle w:val="ListParagraph"/>
        <w:numPr>
          <w:ilvl w:val="0"/>
          <w:numId w:val="2"/>
        </w:numPr>
      </w:pPr>
      <w:r>
        <w:t xml:space="preserve">Monitor for pre-eclampsia - significantly increased risk</w:t>
      </w:r>
    </w:p>
    <w:p>
      <w:pPr>
        <w:pStyle w:val="ListParagraph"/>
        <w:numPr>
          <w:ilvl w:val="0"/>
          <w:numId w:val="2"/>
        </w:numPr>
      </w:pPr>
      <w:r>
        <w:t xml:space="preserve">Advanced maternal age - increased risk chromosomal abnormalities, stillbirth, pregnancy complications</w:t>
      </w:r>
    </w:p>
    <w:p>
      <w:pPr>
        <w:pStyle w:val="ListParagraph"/>
        <w:numPr>
          <w:ilvl w:val="0"/>
          <w:numId w:val="2"/>
        </w:numPr>
      </w:pPr>
      <w:r>
        <w:t xml:space="preserve">Serial fetal growth monitoring</w:t>
      </w:r>
    </w:p>
    <w:p>
      <w:pPr>
        <w:pStyle w:val="ListParagraph"/>
        <w:numPr>
          <w:ilvl w:val="0"/>
          <w:numId w:val="2"/>
        </w:numPr>
      </w:pPr>
      <w:r>
        <w:t xml:space="preserve">Educate about DVT/PE symptoms - threshold for investigation should be low</w:t>
      </w:r>
    </w:p>
    <w:p>
      <w:pPr>
        <w:pStyle w:val="ListParagraph"/>
        <w:numPr>
          <w:ilvl w:val="0"/>
          <w:numId w:val="2"/>
        </w:numPr>
      </w:pPr>
      <w:r>
        <w:t xml:space="preserve">Graduated compression stockings post-caesarean section if required</w:t>
      </w:r>
    </w:p>
    <w:p>
      <w:pPr>
        <w:pStyle w:val="ListParagraph"/>
        <w:numPr>
          <w:ilvl w:val="0"/>
          <w:numId w:val="2"/>
        </w:numPr>
      </w:pPr>
      <w:r>
        <w:t xml:space="preserve">Equipment considerations for size - bariatric bed, appropriate BP cuffs, etc.</w:t>
      </w:r>
    </w:p>
    <w:p>
      <w:pPr>
        <w:pStyle w:val="ListParagraph"/>
        <w:numPr>
          <w:ilvl w:val="0"/>
          <w:numId w:val="2"/>
        </w:numPr>
      </w:pPr>
      <w:r>
        <w:t xml:space="preserve">Multidisciplinary team approach essential</w:t>
      </w:r>
    </w:p>
    <w:p>
      <w:r>
        <w:t xml:space="preserve"/>
      </w:r>
    </w:p>
    <w:p>
      <w:pPr>
        <w:pStyle w:val="Heading2"/>
      </w:pPr>
      <w:r>
        <w:t xml:space="preserve">Summary of Main Risk Factors and Guidelines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2700"/>
        <w:gridCol w:w="24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Case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Main Risk Factors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Key Guidelines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Priority Actions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Case 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Epilepsy on lamotrigine, recent seizure (4 months ago)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NICE NG217, RCOG GTG 68, Project antenatal screening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Monitor drug levels, growth scans, enhanced anomaly scan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Case 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Age 40, BMI 35, previous CS for SGA at 34 weeks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NICE NG247, RCOG GTG 72, RCOG GTG 37a, Project ultrasound protocol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VTE assessment, GDM screening, serial growth scans, pre-eclampsia monitoring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Case 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Previous spontaneous preterm birth at 30 weeks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NICE NG25, UK Preterm Network Guidelines, Project ultrasound protocol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Cervical length screening 16-24 weeks, progesterone if CL &lt;25mm, specialist PTB clinic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Case 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Age 42, BMI 45, previous DVT, Para 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RCOG GTG 37a &amp; 37b, RCOG GTG 72, NICE NG247, Project MEWS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LMWH throughout pregnancy &amp; 6 weeks postpartum, haematology review, obesity service referral</w:t>
            </w:r>
          </w:p>
        </w:tc>
      </w:tr>
    </w:tbl>
    <w:p>
      <w:r>
        <w:t xml:space="preserve"/>
      </w:r>
    </w:p>
    <w:p>
      <w:r>
        <w:rPr>
          <w:i/>
          <w:iCs/>
          <w:sz w:val="20"/>
          <w:szCs w:val="20"/>
        </w:rPr>
        <w:t xml:space="preserve">Note: All cases require consultant-led antenatal care and multidisciplinary team involvement. Project guidelines referenced are from the local maternity department protocols.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8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2026-03-11T15:03:33.187Z</dcterms:created>
  <dcterms:modified xsi:type="dcterms:W3CDTF">2026-03-11T15:03:33.189Z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