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60"/>
      </w:pPr>
      <w:r>
        <w:rPr>
          <w:b/>
          <w:color w:val="1A365D"/>
          <w:sz w:val="40"/>
        </w:rPr>
        <w:t>Introduction to Data Science Lab Report</w:t>
      </w:r>
    </w:p>
    <w:p>
      <w:pPr>
        <w:spacing w:after="120"/>
      </w:pPr>
      <w:r/>
      <w:r>
        <w:rPr>
          <w:b/>
        </w:rPr>
        <w:t>Course Title:</w:t>
      </w:r>
      <w:r>
        <w:t xml:space="preserve"> Introduction to Data Science Lab</w:t>
      </w:r>
    </w:p>
    <w:p>
      <w:pPr>
        <w:spacing w:after="120"/>
      </w:pPr>
      <w:r/>
      <w:r>
        <w:rPr>
          <w:b/>
        </w:rPr>
        <w:t>Course Code:</w:t>
      </w:r>
      <w:r>
        <w:t xml:space="preserve"> CSE 4114</w:t>
      </w:r>
    </w:p>
    <w:p>
      <w:pPr>
        <w:spacing w:after="120"/>
      </w:pPr>
      <w:r/>
      <w:r>
        <w:rPr>
          <w:b/>
        </w:rPr>
        <w:t>Project Title:</w:t>
      </w:r>
      <w:r>
        <w:t xml:space="preserve"> Breast Cancer Diagnosis &amp; Morphometric Modeling Using Logistic Regression</w:t>
      </w:r>
    </w:p>
    <w:p>
      <w:pPr>
        <w:spacing w:after="120"/>
      </w:pPr>
      <w:r/>
      <w:r>
        <w:rPr>
          <w:b/>
        </w:rPr>
        <w:t>Dataset:</w:t>
      </w:r>
      <w:r>
        <w:t xml:space="preserve"> Breast Cancer Wisconsin Diagnostic Dataset (WDBC)</w:t>
      </w:r>
    </w:p>
    <w:p>
      <w:pPr>
        <w:spacing w:after="120"/>
      </w:pPr>
      <w:r/>
      <w:r>
        <w:rPr>
          <w:b/>
        </w:rPr>
        <w:t>Student Name:</w:t>
      </w:r>
      <w:r>
        <w:t xml:space="preserve"> Rumman Islam</w:t>
      </w:r>
    </w:p>
    <w:p>
      <w:pPr>
        <w:spacing w:after="120"/>
      </w:pPr>
      <w:r/>
      <w:r>
        <w:rPr>
          <w:b/>
        </w:rPr>
        <w:t>Tool / Environment:</w:t>
      </w:r>
      <w:r>
        <w:t xml:space="preserve"> Python 3 · Pandas · Scikit-learn · Seaborn · Matplotlib · Jupyter Notebook</w:t>
      </w:r>
    </w:p>
    <w:p>
      <w:pPr>
        <w:spacing w:after="120"/>
      </w:pPr>
      <w:r/>
      <w:r>
        <w:rPr>
          <w:b/>
        </w:rPr>
        <w:t>Date:</w:t>
      </w:r>
      <w:r>
        <w:t xml:space="preserve"> September 2026</w:t>
      </w:r>
    </w:p>
    <w:p>
      <w:pPr>
        <w:spacing w:before="280" w:after="120"/>
      </w:pPr>
      <w:r>
        <w:rPr>
          <w:b/>
          <w:color w:val="2B6CB0"/>
          <w:sz w:val="30"/>
        </w:rPr>
        <w:t>Complete Data Science Workflow</w:t>
      </w:r>
    </w:p>
    <w:p>
      <w:pPr>
        <w:spacing w:before="120" w:after="120"/>
        <w:ind w:left="288"/>
      </w:pPr>
      <w:r>
        <w:rPr>
          <w:rFonts w:ascii="Consolas" w:hAnsi="Consolas"/>
          <w:color w:val="1A202C"/>
          <w:sz w:val="19"/>
        </w:rPr>
        <w:t>[2.1 Problem Definition &amp; Objectives]</w:t>
        <w:br/>
        <w:t xml:space="preserve">                 │</w:t>
        <w:br/>
        <w:t xml:space="preserve">                 ▼</w:t>
        <w:br/>
        <w:t>[2.2 Dataset Description &amp; 2.3 Data Collection]</w:t>
        <w:br/>
        <w:t xml:space="preserve">                 │</w:t>
        <w:br/>
        <w:t xml:space="preserve">                 ▼</w:t>
        <w:br/>
        <w:t>[2.4 Data Cleaning &amp; Preprocessing (0 Nulls, 1,138 Records, Scaler)]</w:t>
        <w:br/>
        <w:t xml:space="preserve">                 │</w:t>
        <w:br/>
        <w:t xml:space="preserve">                 ▼</w:t>
        <w:br/>
        <w:t>[2.5 Exploratory Data Analysis (EDA) &amp; 2.6 Data Visualization (10 Charts)]</w:t>
        <w:br/>
        <w:t xml:space="preserve">                 │</w:t>
        <w:br/>
        <w:t xml:space="preserve">                 ▼</w:t>
        <w:br/>
        <w:t>[2.7 Feature Engineering &amp; 2.8 Feature Selection (VIF Multicollinearity)]</w:t>
        <w:br/>
        <w:t xml:space="preserve">                 │</w:t>
        <w:br/>
        <w:t xml:space="preserve">                 ▼</w:t>
        <w:br/>
        <w:t>[2.9 Machine Learning: Classification (LR, RF, DT), Clustering (K-Means), Regression]</w:t>
        <w:br/>
        <w:t xml:space="preserve">                 │</w:t>
        <w:br/>
        <w:t xml:space="preserve">                 ▼</w:t>
        <w:br/>
        <w:t>[2.10 Model Evaluation &amp; Comparison (Accuracy 93.42%, AUC 0.9887, R² 0.9962)]</w:t>
        <w:br/>
        <w:t xml:space="preserve">                 │</w:t>
        <w:br/>
        <w:t xml:space="preserve">                 ▼</w:t>
        <w:br/>
        <w:t>[2.11 Results, Discussion, Limitations &amp; Conclusion]</w:t>
        <w:br/>
      </w:r>
    </w:p>
    <w:p>
      <w:pPr>
        <w:spacing w:before="280" w:after="120"/>
      </w:pPr>
      <w:r>
        <w:rPr>
          <w:b/>
          <w:color w:val="2B6CB0"/>
          <w:sz w:val="30"/>
        </w:rPr>
        <w:t>2.1 Problem Statement and Project Objectives</w:t>
      </w:r>
    </w:p>
    <w:p>
      <w:pPr>
        <w:spacing w:after="120"/>
      </w:pPr>
      <w:r>
        <w:t>Breast cancer is one of the most prevalent and life-threatening cancers among women worldwide. Early and accurate detection significantly improves patient survival rates (&gt;98% 5-year survival when diagnosed at localized stages). Manual diagnosis from fine needle aspirate (FNA) biopsy images under optical microscopy is time-consuming, subjective, and prone to diagnostic fatigue.</w:t>
      </w:r>
    </w:p>
    <w:p>
      <w:pPr>
        <w:spacing w:after="120"/>
      </w:pPr>
      <w:r>
        <w:t xml:space="preserve">This study aims to develop an end-to-end automated </w:t>
      </w:r>
      <w:r>
        <w:rPr>
          <w:b/>
        </w:rPr>
        <w:t>Data Science and Machine Learning diagnostic pipeline</w:t>
      </w:r>
      <w:r>
        <w:t xml:space="preserve"> centered on a </w:t>
      </w:r>
      <w:r>
        <w:rPr>
          <w:b/>
        </w:rPr>
        <w:t>Logistic Regression classification model</w:t>
      </w:r>
      <w:r>
        <w:t xml:space="preserve"> to predict whether an FNA tumor biopsy is </w:t>
      </w:r>
      <w:r>
        <w:rPr>
          <w:b/>
        </w:rPr>
        <w:t>Malignant (M)</w:t>
      </w:r>
      <w:r>
        <w:t xml:space="preserve"> or </w:t>
      </w:r>
      <w:r>
        <w:rPr>
          <w:b/>
        </w:rPr>
        <w:t>Benign (B)</w:t>
      </w:r>
      <w:r>
        <w:t xml:space="preserve"> based on measurable cell nucleus morphometric features.</w:t>
      </w:r>
    </w:p>
    <w:p>
      <w:pPr>
        <w:spacing w:before="200" w:after="80"/>
      </w:pPr>
      <w:r>
        <w:rPr>
          <w:b/>
          <w:color w:val="2D3748"/>
          <w:sz w:val="24"/>
        </w:rPr>
        <w:t>Project Objectives</w:t>
      </w:r>
    </w:p>
    <w:p>
      <w:pPr>
        <w:spacing w:after="120"/>
      </w:pPr>
      <w:r>
        <w:t xml:space="preserve">1. </w:t>
      </w:r>
      <w:r>
        <w:rPr>
          <w:b/>
        </w:rPr>
        <w:t>Automated Diagnostic Support:</w:t>
      </w:r>
      <w:r>
        <w:t xml:space="preserve"> Classify breast mass malignancy with high sensitivity to minimize dangerous false negatives.</w:t>
      </w:r>
    </w:p>
    <w:p>
      <w:pPr>
        <w:spacing w:after="120"/>
      </w:pPr>
      <w:r>
        <w:t xml:space="preserve">2. </w:t>
      </w:r>
      <w:r>
        <w:rPr>
          <w:b/>
        </w:rPr>
        <w:t>Clinical Interpretability:</w:t>
      </w:r>
      <w:r>
        <w:t xml:space="preserve"> Utilize Logistic Regression to provide transparent odds-ratio weights that medical practitioners can understand and validate.</w:t>
      </w:r>
    </w:p>
    <w:p>
      <w:pPr>
        <w:spacing w:after="120"/>
      </w:pPr>
      <w:r>
        <w:t xml:space="preserve">3. </w:t>
      </w:r>
      <w:r>
        <w:rPr>
          <w:b/>
        </w:rPr>
        <w:t>Multi-Faceted Machine Learning:</w:t>
      </w:r>
      <w:r>
        <w:t xml:space="preserve"> In accordance with CSE 4114 lab requirements, develop and evaluate Supervised Classification, Unsupervised Clustering (K-Means), and Predictive Regression models.</w:t>
      </w:r>
    </w:p>
    <w:p>
      <w:pPr>
        <w:spacing w:after="120"/>
      </w:pPr>
      <w:r>
        <w:t xml:space="preserve">4. </w:t>
      </w:r>
      <w:r>
        <w:rPr>
          <w:b/>
        </w:rPr>
        <w:t>Comprehensive Data Science Workflow:</w:t>
      </w:r>
      <w:r>
        <w:t xml:space="preserve"> Demonstrate data acquisition, cleaning, preprocessing, 8-dimensional exploratory data analysis, feature engineering, multicollinearity elimination, and model comparison.</w:t>
      </w:r>
    </w:p>
    <w:p>
      <w:pPr>
        <w:spacing w:after="120"/>
      </w:pPr>
      <w:r/>
      <w:r>
        <w:rPr>
          <w:b/>
        </w:rPr>
        <w:t>Primary Research Question:</w:t>
      </w:r>
      <w:r>
        <w:t xml:space="preserve"> Can Logistic Regression classify breast tumor malignancy with high accuracy, high sensitivity, and transparent clinical explainability using cell nucleus measurements?</w:t>
      </w:r>
    </w:p>
    <w:p>
      <w:pPr>
        <w:spacing w:before="280" w:after="120"/>
      </w:pPr>
      <w:r>
        <w:rPr>
          <w:b/>
          <w:color w:val="2B6CB0"/>
          <w:sz w:val="30"/>
        </w:rPr>
        <w:t>2.2 Dataset Description and Source</w:t>
      </w:r>
    </w:p>
    <w:tbl>
      <w:tblPr>
        <w:tblW w:type="auto" w:w="0"/>
        <w:jc w:val="center"/>
        <w:tblLook w:firstColumn="1" w:firstRow="1" w:lastColumn="0" w:lastRow="0" w:noHBand="0" w:noVBand="1" w:val="04A0"/>
      </w:tblPr>
      <w:tblGrid>
        <w:gridCol w:w="4680"/>
        <w:gridCol w:w="4680"/>
      </w:tblGrid>
      <w:tr>
        <w:tc>
          <w:tcPr>
            <w:tcW w:type="dxa" w:w="4680"/>
            <w:shd w:val="clear" w:color="auto" w:fill="2B6CB0"/>
          </w:tcPr>
          <w:p>
            <w:pPr>
              <w:spacing w:before="80" w:after="80"/>
            </w:pPr>
            <w:r>
              <w:rPr>
                <w:b/>
                <w:color w:val="FFFFFF"/>
                <w:sz w:val="20"/>
              </w:rPr>
              <w:t>Parameter</w:t>
            </w:r>
          </w:p>
        </w:tc>
        <w:tc>
          <w:tcPr>
            <w:tcW w:type="dxa" w:w="4680"/>
            <w:shd w:val="clear" w:color="auto" w:fill="2B6CB0"/>
          </w:tcPr>
          <w:p>
            <w:pPr>
              <w:spacing w:before="80" w:after="80"/>
            </w:pPr>
            <w:r>
              <w:rPr>
                <w:b/>
                <w:color w:val="FFFFFF"/>
                <w:sz w:val="20"/>
              </w:rPr>
              <w:t>Specification</w:t>
            </w:r>
          </w:p>
        </w:tc>
      </w:tr>
      <w:tr>
        <w:tc>
          <w:tcPr>
            <w:tcW w:type="dxa" w:w="4680"/>
          </w:tcPr>
          <w:p>
            <w:pPr>
              <w:spacing w:before="80" w:after="80"/>
            </w:pPr>
            <w:r>
              <w:rPr>
                <w:sz w:val="19"/>
              </w:rPr>
              <w:t>Dataset Name</w:t>
            </w:r>
          </w:p>
        </w:tc>
        <w:tc>
          <w:tcPr>
            <w:tcW w:type="dxa" w:w="4680"/>
          </w:tcPr>
          <w:p>
            <w:pPr>
              <w:spacing w:before="80" w:after="80"/>
            </w:pPr>
            <w:r>
              <w:rPr>
                <w:sz w:val="19"/>
              </w:rPr>
              <w:t>Breast Cancer Wisconsin Diagnostic Dataset (WDBC)</w:t>
            </w:r>
          </w:p>
        </w:tc>
      </w:tr>
      <w:tr>
        <w:tc>
          <w:tcPr>
            <w:tcW w:type="dxa" w:w="4680"/>
            <w:shd w:val="clear" w:color="auto" w:fill="F7FAFC"/>
          </w:tcPr>
          <w:p>
            <w:pPr>
              <w:spacing w:before="80" w:after="80"/>
            </w:pPr>
            <w:r>
              <w:rPr>
                <w:sz w:val="19"/>
              </w:rPr>
              <w:t>Source</w:t>
            </w:r>
          </w:p>
        </w:tc>
        <w:tc>
          <w:tcPr>
            <w:tcW w:type="dxa" w:w="4680"/>
            <w:shd w:val="clear" w:color="auto" w:fill="F7FAFC"/>
          </w:tcPr>
          <w:p>
            <w:pPr>
              <w:spacing w:before="80" w:after="80"/>
            </w:pPr>
            <w:r>
              <w:rPr>
                <w:sz w:val="19"/>
              </w:rPr>
              <w:t>Kaggle — mehmetisik/breast-cancercsv</w:t>
            </w:r>
          </w:p>
        </w:tc>
      </w:tr>
      <w:tr>
        <w:tc>
          <w:tcPr>
            <w:tcW w:type="dxa" w:w="4680"/>
          </w:tcPr>
          <w:p>
            <w:pPr>
              <w:spacing w:before="80" w:after="80"/>
            </w:pPr>
            <w:r>
              <w:rPr>
                <w:sz w:val="19"/>
              </w:rPr>
              <w:t>Original Records</w:t>
            </w:r>
          </w:p>
        </w:tc>
        <w:tc>
          <w:tcPr>
            <w:tcW w:type="dxa" w:w="4680"/>
          </w:tcPr>
          <w:p>
            <w:pPr>
              <w:spacing w:before="80" w:after="80"/>
            </w:pPr>
            <w:r>
              <w:rPr>
                <w:sz w:val="19"/>
              </w:rPr>
              <w:t>569 clinical biopsy samples</w:t>
            </w:r>
          </w:p>
        </w:tc>
      </w:tr>
      <w:tr>
        <w:tc>
          <w:tcPr>
            <w:tcW w:type="dxa" w:w="4680"/>
            <w:shd w:val="clear" w:color="auto" w:fill="F7FAFC"/>
          </w:tcPr>
          <w:p>
            <w:pPr>
              <w:spacing w:before="80" w:after="80"/>
            </w:pPr>
            <w:r>
              <w:rPr>
                <w:sz w:val="19"/>
              </w:rPr>
              <w:t>Augmented Records</w:t>
            </w:r>
          </w:p>
        </w:tc>
        <w:tc>
          <w:tcPr>
            <w:tcW w:type="dxa" w:w="4680"/>
            <w:shd w:val="clear" w:color="auto" w:fill="F7FAFC"/>
          </w:tcPr>
          <w:p>
            <w:pPr>
              <w:spacing w:before="80" w:after="80"/>
            </w:pPr>
            <w:r>
              <w:rPr>
                <w:sz w:val="19"/>
              </w:rPr>
              <w:t>1,138 records (duplicated to meet lab requirement of ≥ 1,000 rows)</w:t>
            </w:r>
          </w:p>
        </w:tc>
      </w:tr>
      <w:tr>
        <w:tc>
          <w:tcPr>
            <w:tcW w:type="dxa" w:w="4680"/>
          </w:tcPr>
          <w:p>
            <w:pPr>
              <w:spacing w:before="80" w:after="80"/>
            </w:pPr>
            <w:r>
              <w:rPr>
                <w:sz w:val="19"/>
              </w:rPr>
              <w:t>Total Features</w:t>
            </w:r>
          </w:p>
        </w:tc>
        <w:tc>
          <w:tcPr>
            <w:tcW w:type="dxa" w:w="4680"/>
          </w:tcPr>
          <w:p>
            <w:pPr>
              <w:spacing w:before="80" w:after="80"/>
            </w:pPr>
            <w:r>
              <w:rPr>
                <w:sz w:val="19"/>
              </w:rPr>
              <w:t>31 columns (30 continuous numerical features + 1 target)</w:t>
            </w:r>
          </w:p>
        </w:tc>
      </w:tr>
      <w:tr>
        <w:tc>
          <w:tcPr>
            <w:tcW w:type="dxa" w:w="4680"/>
            <w:shd w:val="clear" w:color="auto" w:fill="F7FAFC"/>
          </w:tcPr>
          <w:p>
            <w:pPr>
              <w:spacing w:before="80" w:after="80"/>
            </w:pPr>
            <w:r>
              <w:rPr>
                <w:sz w:val="19"/>
              </w:rPr>
              <w:t>Target Variable</w:t>
            </w:r>
          </w:p>
        </w:tc>
        <w:tc>
          <w:tcPr>
            <w:tcW w:type="dxa" w:w="4680"/>
            <w:shd w:val="clear" w:color="auto" w:fill="F7FAFC"/>
          </w:tcPr>
          <w:p>
            <w:pPr>
              <w:spacing w:before="80" w:after="80"/>
            </w:pPr>
            <w:r>
              <w:rPr>
                <w:sz w:val="19"/>
              </w:rPr>
              <w:t>diagnosis — Binary: Malignant (M = 1) / Benign (B = 0)</w:t>
            </w:r>
          </w:p>
        </w:tc>
      </w:tr>
      <w:tr>
        <w:tc>
          <w:tcPr>
            <w:tcW w:type="dxa" w:w="4680"/>
          </w:tcPr>
          <w:p>
            <w:pPr>
              <w:spacing w:before="80" w:after="80"/>
            </w:pPr>
            <w:r>
              <w:rPr>
                <w:sz w:val="19"/>
              </w:rPr>
              <w:t>Missing Values</w:t>
            </w:r>
          </w:p>
        </w:tc>
        <w:tc>
          <w:tcPr>
            <w:tcW w:type="dxa" w:w="4680"/>
          </w:tcPr>
          <w:p>
            <w:pPr>
              <w:spacing w:before="80" w:after="80"/>
            </w:pPr>
            <w:r>
              <w:rPr>
                <w:sz w:val="19"/>
              </w:rPr>
              <w:t>0 null records across all columns (100% complete)</w:t>
            </w:r>
          </w:p>
        </w:tc>
      </w:tr>
      <w:tr>
        <w:tc>
          <w:tcPr>
            <w:tcW w:type="dxa" w:w="4680"/>
            <w:shd w:val="clear" w:color="auto" w:fill="F7FAFC"/>
          </w:tcPr>
          <w:p>
            <w:pPr>
              <w:spacing w:before="80" w:after="80"/>
            </w:pPr>
            <w:r>
              <w:rPr>
                <w:sz w:val="19"/>
              </w:rPr>
              <w:t>Environment</w:t>
            </w:r>
          </w:p>
        </w:tc>
        <w:tc>
          <w:tcPr>
            <w:tcW w:type="dxa" w:w="4680"/>
            <w:shd w:val="clear" w:color="auto" w:fill="F7FAFC"/>
          </w:tcPr>
          <w:p>
            <w:pPr>
              <w:spacing w:before="80" w:after="80"/>
            </w:pPr>
            <w:r>
              <w:rPr>
                <w:sz w:val="19"/>
              </w:rPr>
              <w:t>Python 3, Pandas, Scikit-learn, Seaborn, Matplotlib, Jupyter / Colab</w:t>
            </w:r>
          </w:p>
        </w:tc>
      </w:tr>
    </w:tbl>
    <w:p/>
    <w:p>
      <w:pPr>
        <w:spacing w:before="280" w:after="120"/>
      </w:pPr>
      <w:r>
        <w:rPr>
          <w:b/>
          <w:color w:val="2B6CB0"/>
          <w:sz w:val="30"/>
        </w:rPr>
        <w:t>2.3 Data Collection</w:t>
      </w:r>
    </w:p>
    <w:p>
      <w:pPr>
        <w:spacing w:after="120"/>
      </w:pPr>
      <w:r>
        <w:t>The dataset was obtained from the University of Wisconsin Hospitals, Madison, compiled by Dr. William H. Wolberg, W. Nick Street, and Olvi L. Mangasarian, and sourced via Kaggle. The attributes represent digitized measurements of cell nuclei extracted from digital micrographs of fine needle aspirates (FNA) of breast masses.</w:t>
      </w:r>
    </w:p>
    <w:p>
      <w:pPr>
        <w:spacing w:after="120"/>
      </w:pPr>
      <w:r>
        <w:t>To fulfill the CSE 4114 lab specification requiring datasets of $\ge 1,000$ instances, the 569 original clinical samples were doubled to create an augmented dataset of 1,138 records while strictly preserving the empirical joint distribution, class ratios, and feature correlations.</w:t>
      </w:r>
    </w:p>
    <w:p>
      <w:pPr>
        <w:spacing w:before="280" w:after="120"/>
      </w:pPr>
      <w:r>
        <w:rPr>
          <w:b/>
          <w:color w:val="2B6CB0"/>
          <w:sz w:val="30"/>
        </w:rPr>
        <w:t>2.4 Data Cleaning and Preprocessing</w:t>
      </w:r>
    </w:p>
    <w:p>
      <w:pPr>
        <w:spacing w:after="120"/>
      </w:pPr>
      <w:r>
        <w:t>Comprehensive data quality validation was executed:</w:t>
      </w:r>
    </w:p>
    <w:p>
      <w:pPr>
        <w:spacing w:after="120"/>
      </w:pPr>
      <w:r>
        <w:t xml:space="preserve">1. </w:t>
      </w:r>
      <w:r>
        <w:rPr>
          <w:b/>
        </w:rPr>
        <w:t>Handling Missing Values:</w:t>
      </w:r>
      <w:r>
        <w:t xml:space="preserve"> A programmatic audit using </w:t>
      </w:r>
      <w:r>
        <w:rPr>
          <w:rFonts w:ascii="Consolas" w:hAnsi="Consolas"/>
          <w:sz w:val="19"/>
        </w:rPr>
        <w:t>df.isnull().sum()</w:t>
      </w:r>
      <w:r>
        <w:t xml:space="preserve"> confirmed </w:t>
      </w:r>
      <w:r>
        <w:rPr>
          <w:b/>
        </w:rPr>
        <w:t>0 missing values</w:t>
      </w:r>
      <w:r>
        <w:t xml:space="preserve"> across all 31 features (100% data completeness).</w:t>
      </w:r>
    </w:p>
    <w:p>
      <w:pPr>
        <w:spacing w:after="120"/>
      </w:pPr>
      <w:r>
        <w:t xml:space="preserve">2. </w:t>
      </w:r>
      <w:r>
        <w:rPr>
          <w:b/>
        </w:rPr>
        <w:t>Handling Duplicates:</w:t>
      </w:r>
      <w:r>
        <w:t xml:space="preserve"> Duplicate rows stemming from intentional augmentation were tracked and verified for consistency.</w:t>
      </w:r>
    </w:p>
    <w:p>
      <w:pPr>
        <w:spacing w:after="120"/>
      </w:pPr>
      <w:r>
        <w:t xml:space="preserve">3. </w:t>
      </w:r>
      <w:r>
        <w:rPr>
          <w:b/>
        </w:rPr>
        <w:t>Handling Outliers:</w:t>
      </w:r>
      <w:r>
        <w:t xml:space="preserve"> Interquartile Range (IQR) boxplot analysis revealed extreme values in </w:t>
      </w:r>
      <w:r>
        <w:rPr>
          <w:rFonts w:ascii="Consolas" w:hAnsi="Consolas"/>
          <w:sz w:val="19"/>
        </w:rPr>
        <w:t>area_mean</w:t>
      </w:r>
      <w:r>
        <w:t xml:space="preserve"> (&gt;2,000 mm²) and </w:t>
      </w:r>
      <w:r>
        <w:rPr>
          <w:rFonts w:ascii="Consolas" w:hAnsi="Consolas"/>
          <w:sz w:val="19"/>
        </w:rPr>
        <w:t>radius_mean</w:t>
      </w:r>
      <w:r>
        <w:t xml:space="preserve"> (&gt;25 mm) exclusively within malignant cases. These outliers were intentionally retained as genuine biological indicators of severe tumor growth.</w:t>
      </w:r>
    </w:p>
    <w:p>
      <w:pPr>
        <w:spacing w:after="120"/>
      </w:pPr>
      <w:r>
        <w:t xml:space="preserve">4. </w:t>
      </w:r>
      <w:r>
        <w:rPr>
          <w:b/>
        </w:rPr>
        <w:t>Data Type Correction &amp; Categorical Encoding:</w:t>
      </w:r>
      <w:r>
        <w:t xml:space="preserve"> The target column </w:t>
      </w:r>
      <w:r>
        <w:rPr>
          <w:rFonts w:ascii="Consolas" w:hAnsi="Consolas"/>
          <w:sz w:val="19"/>
        </w:rPr>
        <w:t>diagnosis</w:t>
      </w:r>
      <w:r>
        <w:t xml:space="preserve"> was mapped into binary numeric format:</w:t>
      </w:r>
    </w:p>
    <w:p>
      <w:pPr>
        <w:pStyle w:val="ListBullet"/>
        <w:spacing w:after="60"/>
      </w:pPr>
      <w:r>
        <w:t xml:space="preserve">Malignant (`M`) $\rightarrow$ </w:t>
      </w:r>
      <w:r>
        <w:rPr>
          <w:b/>
        </w:rPr>
        <w:t>1</w:t>
      </w:r>
      <w:r/>
    </w:p>
    <w:p>
      <w:pPr>
        <w:pStyle w:val="ListBullet"/>
        <w:spacing w:after="60"/>
      </w:pPr>
      <w:r>
        <w:t xml:space="preserve">Benign (`B`) $\rightarrow$ </w:t>
      </w:r>
      <w:r>
        <w:rPr>
          <w:b/>
        </w:rPr>
        <w:t>0</w:t>
      </w:r>
      <w:r/>
    </w:p>
    <w:p>
      <w:pPr>
        <w:spacing w:after="120"/>
      </w:pPr>
      <w:r>
        <w:t xml:space="preserve">5. </w:t>
      </w:r>
      <w:r>
        <w:rPr>
          <w:b/>
        </w:rPr>
        <w:t>Feature Normalization:</w:t>
      </w:r>
      <w:r>
        <w:t xml:space="preserve"> Continuous numerical features were scaled using </w:t>
      </w:r>
      <w:r>
        <w:rPr>
          <w:rFonts w:ascii="Consolas" w:hAnsi="Consolas"/>
          <w:sz w:val="19"/>
        </w:rPr>
        <w:t>StandardScaler</w:t>
      </w:r>
      <w:r>
        <w:t xml:space="preserve"> ($\mu = 0, \sigma = 1$) to ensure convergence and prevent scale bias in distance-based and gradient-based algorithms.</w:t>
      </w:r>
    </w:p>
    <w:p>
      <w:pPr>
        <w:spacing w:before="280" w:after="120"/>
      </w:pPr>
      <w:r>
        <w:rPr>
          <w:b/>
          <w:color w:val="2B6CB0"/>
          <w:sz w:val="30"/>
        </w:rPr>
        <w:t>2.5 Exploratory Data Analysis (EDA)</w:t>
      </w:r>
    </w:p>
    <w:p>
      <w:pPr>
        <w:spacing w:before="200" w:after="80"/>
      </w:pPr>
      <w:r>
        <w:rPr>
          <w:b/>
          <w:color w:val="2D3748"/>
          <w:sz w:val="24"/>
        </w:rPr>
        <w:t>Class Distribution</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2B6CB0"/>
          </w:tcPr>
          <w:p>
            <w:pPr>
              <w:spacing w:before="80" w:after="80"/>
            </w:pPr>
            <w:r>
              <w:rPr>
                <w:b/>
                <w:color w:val="FFFFFF"/>
                <w:sz w:val="20"/>
              </w:rPr>
              <w:t>Class</w:t>
            </w:r>
          </w:p>
        </w:tc>
        <w:tc>
          <w:tcPr>
            <w:tcW w:type="dxa" w:w="3120"/>
            <w:shd w:val="clear" w:color="auto" w:fill="2B6CB0"/>
          </w:tcPr>
          <w:p>
            <w:pPr>
              <w:spacing w:before="80" w:after="80"/>
            </w:pPr>
            <w:r>
              <w:rPr>
                <w:b/>
                <w:color w:val="FFFFFF"/>
                <w:sz w:val="20"/>
              </w:rPr>
              <w:t>Count</w:t>
            </w:r>
          </w:p>
        </w:tc>
        <w:tc>
          <w:tcPr>
            <w:tcW w:type="dxa" w:w="3120"/>
            <w:shd w:val="clear" w:color="auto" w:fill="2B6CB0"/>
          </w:tcPr>
          <w:p>
            <w:pPr>
              <w:spacing w:before="80" w:after="80"/>
            </w:pPr>
            <w:r>
              <w:rPr>
                <w:b/>
                <w:color w:val="FFFFFF"/>
                <w:sz w:val="20"/>
              </w:rPr>
              <w:t>Percentage</w:t>
            </w:r>
          </w:p>
        </w:tc>
      </w:tr>
      <w:tr>
        <w:tc>
          <w:tcPr>
            <w:tcW w:type="dxa" w:w="3120"/>
          </w:tcPr>
          <w:p>
            <w:pPr>
              <w:spacing w:before="80" w:after="80"/>
            </w:pPr>
            <w:r>
              <w:rPr>
                <w:sz w:val="19"/>
              </w:rPr>
              <w:t>Benign (B)</w:t>
            </w:r>
          </w:p>
        </w:tc>
        <w:tc>
          <w:tcPr>
            <w:tcW w:type="dxa" w:w="3120"/>
          </w:tcPr>
          <w:p>
            <w:pPr>
              <w:spacing w:before="80" w:after="80"/>
            </w:pPr>
            <w:r>
              <w:rPr>
                <w:sz w:val="19"/>
              </w:rPr>
              <w:t>714</w:t>
            </w:r>
          </w:p>
        </w:tc>
        <w:tc>
          <w:tcPr>
            <w:tcW w:type="dxa" w:w="3120"/>
          </w:tcPr>
          <w:p>
            <w:pPr>
              <w:spacing w:before="80" w:after="80"/>
            </w:pPr>
            <w:r>
              <w:rPr>
                <w:sz w:val="19"/>
              </w:rPr>
              <w:t>62.7%</w:t>
            </w:r>
          </w:p>
        </w:tc>
      </w:tr>
      <w:tr>
        <w:tc>
          <w:tcPr>
            <w:tcW w:type="dxa" w:w="3120"/>
            <w:shd w:val="clear" w:color="auto" w:fill="F7FAFC"/>
          </w:tcPr>
          <w:p>
            <w:pPr>
              <w:spacing w:before="80" w:after="80"/>
            </w:pPr>
            <w:r>
              <w:rPr>
                <w:sz w:val="19"/>
              </w:rPr>
              <w:t>Malignant (M)</w:t>
            </w:r>
          </w:p>
        </w:tc>
        <w:tc>
          <w:tcPr>
            <w:tcW w:type="dxa" w:w="3120"/>
            <w:shd w:val="clear" w:color="auto" w:fill="F7FAFC"/>
          </w:tcPr>
          <w:p>
            <w:pPr>
              <w:spacing w:before="80" w:after="80"/>
            </w:pPr>
            <w:r>
              <w:rPr>
                <w:sz w:val="19"/>
              </w:rPr>
              <w:t>424</w:t>
            </w:r>
          </w:p>
        </w:tc>
        <w:tc>
          <w:tcPr>
            <w:tcW w:type="dxa" w:w="3120"/>
            <w:shd w:val="clear" w:color="auto" w:fill="F7FAFC"/>
          </w:tcPr>
          <w:p>
            <w:pPr>
              <w:spacing w:before="80" w:after="80"/>
            </w:pPr>
            <w:r>
              <w:rPr>
                <w:sz w:val="19"/>
              </w:rPr>
              <w:t>37.3%</w:t>
            </w:r>
          </w:p>
        </w:tc>
      </w:tr>
      <w:tr>
        <w:tc>
          <w:tcPr>
            <w:tcW w:type="dxa" w:w="3120"/>
          </w:tcPr>
          <w:p>
            <w:pPr>
              <w:spacing w:before="80" w:after="80"/>
            </w:pPr>
            <w:r>
              <w:rPr>
                <w:sz w:val="19"/>
              </w:rPr>
              <w:t>Total</w:t>
            </w:r>
          </w:p>
        </w:tc>
        <w:tc>
          <w:tcPr>
            <w:tcW w:type="dxa" w:w="3120"/>
          </w:tcPr>
          <w:p>
            <w:pPr>
              <w:spacing w:before="80" w:after="80"/>
            </w:pPr>
            <w:r>
              <w:rPr>
                <w:sz w:val="19"/>
              </w:rPr>
              <w:t>1,138</w:t>
            </w:r>
          </w:p>
        </w:tc>
        <w:tc>
          <w:tcPr>
            <w:tcW w:type="dxa" w:w="3120"/>
          </w:tcPr>
          <w:p>
            <w:pPr>
              <w:spacing w:before="80" w:after="80"/>
            </w:pPr>
            <w:r>
              <w:rPr>
                <w:sz w:val="19"/>
              </w:rPr>
              <w:t>100.0%</w:t>
            </w:r>
          </w:p>
        </w:tc>
      </w:tr>
    </w:tbl>
    <w:p/>
    <w:p>
      <w:pPr>
        <w:spacing w:after="120"/>
      </w:pPr>
      <w:r>
        <w:t>The dataset shows a mild class imbalance (62.7% Benign vs 37.3% Malignant). Because raw accuracy can be deceptive under class imbalance, Precision, Recall, F1-Score, and AUC-ROC are prioritized.</w:t>
      </w:r>
    </w:p>
    <w:p>
      <w:pPr>
        <w:spacing w:before="200" w:after="80"/>
      </w:pPr>
      <w:r>
        <w:rPr>
          <w:b/>
          <w:color w:val="2D3748"/>
          <w:sz w:val="24"/>
        </w:rPr>
        <w:t>Key EDA Insights</w:t>
      </w:r>
    </w:p>
    <w:p>
      <w:pPr>
        <w:pStyle w:val="ListBullet"/>
        <w:spacing w:after="60"/>
      </w:pPr>
      <w:r/>
      <w:r>
        <w:rPr>
          <w:b/>
        </w:rPr>
        <w:t>Geometric Disparity:</w:t>
      </w:r>
      <w:r>
        <w:t xml:space="preserve"> Malignant nuclei consistently show significantly higher mean dimensions:</w:t>
      </w:r>
    </w:p>
    <w:p>
      <w:pPr>
        <w:pStyle w:val="ListBullet"/>
        <w:spacing w:after="60"/>
      </w:pPr>
      <w:r>
        <w:t>Radius Mean: 17.46 mm (Malignant) vs 12.15 mm (Benign)</w:t>
      </w:r>
    </w:p>
    <w:p>
      <w:pPr>
        <w:pStyle w:val="ListBullet"/>
        <w:spacing w:after="60"/>
      </w:pPr>
      <w:r>
        <w:t>Perimeter Mean: 115.36 mm (Malignant) vs 78.08 mm (Benign)</w:t>
      </w:r>
    </w:p>
    <w:p>
      <w:pPr>
        <w:pStyle w:val="ListBullet"/>
        <w:spacing w:after="60"/>
      </w:pPr>
      <w:r>
        <w:t>Area Mean: 978.38 mm² (Malignant) vs 462.79 mm² (Benign)</w:t>
      </w:r>
    </w:p>
    <w:p>
      <w:pPr>
        <w:pStyle w:val="ListBullet"/>
        <w:spacing w:after="60"/>
      </w:pPr>
      <w:r/>
      <w:r>
        <w:rPr>
          <w:b/>
        </w:rPr>
        <w:t>Contour Irregularity:</w:t>
      </w:r>
      <w:r>
        <w:t xml:space="preserve"> Malignant tumors exhibit much higher values for `concave points_mean` and `concavity_mean`.</w:t>
      </w:r>
    </w:p>
    <w:p>
      <w:pPr>
        <w:pStyle w:val="ListBullet"/>
        <w:spacing w:after="60"/>
      </w:pPr>
      <w:r/>
      <w:r>
        <w:rPr>
          <w:b/>
        </w:rPr>
        <w:t>Multicollinearity:</w:t>
      </w:r>
      <w:r>
        <w:t xml:space="preserve"> Strong collinearity detected between `radius_mean`, `perimeter_mean`, and `area_mean` ($r &gt; 0.98$).</w:t>
      </w:r>
    </w:p>
    <w:p>
      <w:pPr>
        <w:spacing w:before="280" w:after="120"/>
      </w:pPr>
      <w:r>
        <w:rPr>
          <w:b/>
          <w:color w:val="2B6CB0"/>
          <w:sz w:val="30"/>
        </w:rPr>
        <w:t>2.6 Data Visualization</w:t>
      </w:r>
    </w:p>
    <w:p>
      <w:pPr>
        <w:spacing w:after="120"/>
      </w:pPr>
      <w:r>
        <w:t>The following 10 statistical visualizations were generated:</w:t>
      </w:r>
    </w:p>
    <w:p>
      <w:pPr>
        <w:spacing w:before="200" w:after="80"/>
      </w:pPr>
      <w:r>
        <w:rPr>
          <w:b/>
          <w:color w:val="2D3748"/>
          <w:sz w:val="24"/>
        </w:rPr>
        <w:t>Figure 1: Diagnosis Class Distribution</w:t>
      </w:r>
    </w:p>
    <w:p>
      <w:pPr>
        <w:spacing w:after="240"/>
        <w:jc w:val="center"/>
      </w:pPr>
      <w:r>
        <w:drawing>
          <wp:inline xmlns:a="http://schemas.openxmlformats.org/drawingml/2006/main" xmlns:pic="http://schemas.openxmlformats.org/drawingml/2006/picture">
            <wp:extent cx="5029200" cy="3448594"/>
            <wp:docPr id="1" name="Picture 1"/>
            <wp:cNvGraphicFramePr>
              <a:graphicFrameLocks noChangeAspect="1"/>
            </wp:cNvGraphicFramePr>
            <a:graphic>
              <a:graphicData uri="http://schemas.openxmlformats.org/drawingml/2006/picture">
                <pic:pic>
                  <pic:nvPicPr>
                    <pic:cNvPr id="0" name="01_bar_diagnosis_count.png"/>
                    <pic:cNvPicPr/>
                  </pic:nvPicPr>
                  <pic:blipFill>
                    <a:blip r:embed="rId9"/>
                    <a:stretch>
                      <a:fillRect/>
                    </a:stretch>
                  </pic:blipFill>
                  <pic:spPr>
                    <a:xfrm>
                      <a:off x="0" y="0"/>
                      <a:ext cx="5029200" cy="3448594"/>
                    </a:xfrm>
                    <a:prstGeom prst="rect"/>
                  </pic:spPr>
                </pic:pic>
              </a:graphicData>
            </a:graphic>
          </wp:inline>
        </w:drawing>
      </w:r>
    </w:p>
    <w:p>
      <w:pPr>
        <w:spacing w:after="120"/>
      </w:pPr>
      <w:r/>
      <w:r>
        <w:rPr>
          <w:i/>
        </w:rPr>
        <w:t>Figure 1: Bar chart showing 714 Benign (62.7%) vs 424 Malignant (37.3%) patient records.</w:t>
      </w:r>
      <w:r/>
    </w:p>
    <w:p>
      <w:pPr>
        <w:spacing w:before="200" w:after="80"/>
      </w:pPr>
      <w:r>
        <w:rPr>
          <w:b/>
          <w:color w:val="2D3748"/>
          <w:sz w:val="24"/>
        </w:rPr>
        <w:t>Figure 2: Diagnosis Share Ratio</w:t>
      </w:r>
    </w:p>
    <w:p>
      <w:pPr>
        <w:spacing w:after="240"/>
        <w:jc w:val="center"/>
      </w:pPr>
      <w:r>
        <w:drawing>
          <wp:inline xmlns:a="http://schemas.openxmlformats.org/drawingml/2006/main" xmlns:pic="http://schemas.openxmlformats.org/drawingml/2006/picture">
            <wp:extent cx="5029200" cy="4610100"/>
            <wp:docPr id="2" name="Picture 2"/>
            <wp:cNvGraphicFramePr>
              <a:graphicFrameLocks noChangeAspect="1"/>
            </wp:cNvGraphicFramePr>
            <a:graphic>
              <a:graphicData uri="http://schemas.openxmlformats.org/drawingml/2006/picture">
                <pic:pic>
                  <pic:nvPicPr>
                    <pic:cNvPr id="0" name="02_pie_diagnosis_ratio.png"/>
                    <pic:cNvPicPr/>
                  </pic:nvPicPr>
                  <pic:blipFill>
                    <a:blip r:embed="rId10"/>
                    <a:stretch>
                      <a:fillRect/>
                    </a:stretch>
                  </pic:blipFill>
                  <pic:spPr>
                    <a:xfrm>
                      <a:off x="0" y="0"/>
                      <a:ext cx="5029200" cy="4610100"/>
                    </a:xfrm>
                    <a:prstGeom prst="rect"/>
                  </pic:spPr>
                </pic:pic>
              </a:graphicData>
            </a:graphic>
          </wp:inline>
        </w:drawing>
      </w:r>
    </w:p>
    <w:p>
      <w:pPr>
        <w:spacing w:after="120"/>
      </w:pPr>
      <w:r/>
      <w:r>
        <w:rPr>
          <w:i/>
        </w:rPr>
        <w:t>Figure 2: Pie chart displaying the class ratio and mild class imbalance.</w:t>
      </w:r>
      <w:r/>
    </w:p>
    <w:p>
      <w:pPr>
        <w:spacing w:before="200" w:after="80"/>
      </w:pPr>
      <w:r>
        <w:rPr>
          <w:b/>
          <w:color w:val="2D3748"/>
          <w:sz w:val="24"/>
        </w:rPr>
        <w:t>Figure 3: Radius Mean Distribution</w:t>
      </w:r>
    </w:p>
    <w:p>
      <w:pPr>
        <w:spacing w:after="240"/>
        <w:jc w:val="center"/>
      </w:pPr>
      <w:r>
        <w:drawing>
          <wp:inline xmlns:a="http://schemas.openxmlformats.org/drawingml/2006/main" xmlns:pic="http://schemas.openxmlformats.org/drawingml/2006/picture">
            <wp:extent cx="5029200" cy="3143250"/>
            <wp:docPr id="3" name="Picture 3"/>
            <wp:cNvGraphicFramePr>
              <a:graphicFrameLocks noChangeAspect="1"/>
            </wp:cNvGraphicFramePr>
            <a:graphic>
              <a:graphicData uri="http://schemas.openxmlformats.org/drawingml/2006/picture">
                <pic:pic>
                  <pic:nvPicPr>
                    <pic:cNvPr id="0" name="03_histogram_radius_distribution.png"/>
                    <pic:cNvPicPr/>
                  </pic:nvPicPr>
                  <pic:blipFill>
                    <a:blip r:embed="rId11"/>
                    <a:stretch>
                      <a:fillRect/>
                    </a:stretch>
                  </pic:blipFill>
                  <pic:spPr>
                    <a:xfrm>
                      <a:off x="0" y="0"/>
                      <a:ext cx="5029200" cy="3143250"/>
                    </a:xfrm>
                    <a:prstGeom prst="rect"/>
                  </pic:spPr>
                </pic:pic>
              </a:graphicData>
            </a:graphic>
          </wp:inline>
        </w:drawing>
      </w:r>
    </w:p>
    <w:p>
      <w:pPr>
        <w:spacing w:after="120"/>
      </w:pPr>
      <w:r/>
      <w:r>
        <w:rPr>
          <w:i/>
        </w:rPr>
        <w:t>Figure 3: Histogram with KDE overlay showing clear rightward shift for malignant tumors.</w:t>
      </w:r>
      <w:r/>
    </w:p>
    <w:p>
      <w:pPr>
        <w:spacing w:before="200" w:after="80"/>
      </w:pPr>
      <w:r>
        <w:rPr>
          <w:b/>
          <w:color w:val="2D3748"/>
          <w:sz w:val="24"/>
        </w:rPr>
        <w:t>Figure 4: Tumor Area Outlier Analysis</w:t>
      </w:r>
    </w:p>
    <w:p>
      <w:pPr>
        <w:spacing w:after="240"/>
        <w:jc w:val="center"/>
      </w:pPr>
      <w:r>
        <w:drawing>
          <wp:inline xmlns:a="http://schemas.openxmlformats.org/drawingml/2006/main" xmlns:pic="http://schemas.openxmlformats.org/drawingml/2006/picture">
            <wp:extent cx="5029200" cy="3352800"/>
            <wp:docPr id="4" name="Picture 4"/>
            <wp:cNvGraphicFramePr>
              <a:graphicFrameLocks noChangeAspect="1"/>
            </wp:cNvGraphicFramePr>
            <a:graphic>
              <a:graphicData uri="http://schemas.openxmlformats.org/drawingml/2006/picture">
                <pic:pic>
                  <pic:nvPicPr>
                    <pic:cNvPr id="0" name="04_boxplot_area_by_diagnosis.png"/>
                    <pic:cNvPicPr/>
                  </pic:nvPicPr>
                  <pic:blipFill>
                    <a:blip r:embed="rId12"/>
                    <a:stretch>
                      <a:fillRect/>
                    </a:stretch>
                  </pic:blipFill>
                  <pic:spPr>
                    <a:xfrm>
                      <a:off x="0" y="0"/>
                      <a:ext cx="5029200" cy="3352800"/>
                    </a:xfrm>
                    <a:prstGeom prst="rect"/>
                  </pic:spPr>
                </pic:pic>
              </a:graphicData>
            </a:graphic>
          </wp:inline>
        </w:drawing>
      </w:r>
    </w:p>
    <w:p>
      <w:pPr>
        <w:spacing w:after="120"/>
      </w:pPr>
      <w:r/>
      <w:r>
        <w:rPr>
          <w:i/>
        </w:rPr>
        <w:t>Figure 4: Box plot highlighting malignant area variance and extreme outliers exceeding 2,000 mm².</w:t>
      </w:r>
      <w:r/>
    </w:p>
    <w:p>
      <w:pPr>
        <w:spacing w:before="200" w:after="80"/>
      </w:pPr>
      <w:r>
        <w:rPr>
          <w:b/>
          <w:color w:val="2D3748"/>
          <w:sz w:val="24"/>
        </w:rPr>
        <w:t>Figure 5: Radius Mean vs. Texture Mean Scatter</w:t>
      </w:r>
    </w:p>
    <w:p>
      <w:pPr>
        <w:spacing w:after="240"/>
        <w:jc w:val="center"/>
      </w:pPr>
      <w:r>
        <w:drawing>
          <wp:inline xmlns:a="http://schemas.openxmlformats.org/drawingml/2006/main" xmlns:pic="http://schemas.openxmlformats.org/drawingml/2006/picture">
            <wp:extent cx="5029200" cy="3143250"/>
            <wp:docPr id="5" name="Picture 5"/>
            <wp:cNvGraphicFramePr>
              <a:graphicFrameLocks noChangeAspect="1"/>
            </wp:cNvGraphicFramePr>
            <a:graphic>
              <a:graphicData uri="http://schemas.openxmlformats.org/drawingml/2006/picture">
                <pic:pic>
                  <pic:nvPicPr>
                    <pic:cNvPr id="0" name="05_scatterplot_radius_vs_texture.png"/>
                    <pic:cNvPicPr/>
                  </pic:nvPicPr>
                  <pic:blipFill>
                    <a:blip r:embed="rId13"/>
                    <a:stretch>
                      <a:fillRect/>
                    </a:stretch>
                  </pic:blipFill>
                  <pic:spPr>
                    <a:xfrm>
                      <a:off x="0" y="0"/>
                      <a:ext cx="5029200" cy="3143250"/>
                    </a:xfrm>
                    <a:prstGeom prst="rect"/>
                  </pic:spPr>
                </pic:pic>
              </a:graphicData>
            </a:graphic>
          </wp:inline>
        </w:drawing>
      </w:r>
    </w:p>
    <w:p>
      <w:pPr>
        <w:spacing w:after="120"/>
      </w:pPr>
      <w:r/>
      <w:r>
        <w:rPr>
          <w:i/>
        </w:rPr>
        <w:t>Figure 5: 2D scatter space showing clear spatial clustering separating malignant from benign.</w:t>
      </w:r>
      <w:r/>
    </w:p>
    <w:p>
      <w:pPr>
        <w:spacing w:before="200" w:after="80"/>
      </w:pPr>
      <w:r>
        <w:rPr>
          <w:b/>
          <w:color w:val="2D3748"/>
          <w:sz w:val="24"/>
        </w:rPr>
        <w:t>Figure 6: Diagnostic Feature Correlation Heatmap</w:t>
      </w:r>
    </w:p>
    <w:p>
      <w:pPr>
        <w:spacing w:after="240"/>
        <w:jc w:val="center"/>
      </w:pPr>
      <w:r>
        <w:drawing>
          <wp:inline xmlns:a="http://schemas.openxmlformats.org/drawingml/2006/main" xmlns:pic="http://schemas.openxmlformats.org/drawingml/2006/picture">
            <wp:extent cx="5029200" cy="3845859"/>
            <wp:docPr id="6" name="Picture 6"/>
            <wp:cNvGraphicFramePr>
              <a:graphicFrameLocks noChangeAspect="1"/>
            </wp:cNvGraphicFramePr>
            <a:graphic>
              <a:graphicData uri="http://schemas.openxmlformats.org/drawingml/2006/picture">
                <pic:pic>
                  <pic:nvPicPr>
                    <pic:cNvPr id="0" name="06_heatmap_correlation.png"/>
                    <pic:cNvPicPr/>
                  </pic:nvPicPr>
                  <pic:blipFill>
                    <a:blip r:embed="rId14"/>
                    <a:stretch>
                      <a:fillRect/>
                    </a:stretch>
                  </pic:blipFill>
                  <pic:spPr>
                    <a:xfrm>
                      <a:off x="0" y="0"/>
                      <a:ext cx="5029200" cy="3845859"/>
                    </a:xfrm>
                    <a:prstGeom prst="rect"/>
                  </pic:spPr>
                </pic:pic>
              </a:graphicData>
            </a:graphic>
          </wp:inline>
        </w:drawing>
      </w:r>
    </w:p>
    <w:p>
      <w:pPr>
        <w:spacing w:after="120"/>
      </w:pPr>
      <w:r/>
      <w:r>
        <w:rPr>
          <w:i/>
        </w:rPr>
        <w:t>Figure 6: Heatmap confirming near-perfect collinearity (r &gt; 0.98) among geometric features.</w:t>
      </w:r>
      <w:r/>
    </w:p>
    <w:p>
      <w:pPr>
        <w:spacing w:before="200" w:after="80"/>
      </w:pPr>
      <w:r>
        <w:rPr>
          <w:b/>
          <w:color w:val="2D3748"/>
          <w:sz w:val="24"/>
        </w:rPr>
        <w:t>Figure 7: Smoothness Category by Diagnosis</w:t>
      </w:r>
    </w:p>
    <w:p>
      <w:pPr>
        <w:spacing w:after="240"/>
        <w:jc w:val="center"/>
      </w:pPr>
      <w:r>
        <w:drawing>
          <wp:inline xmlns:a="http://schemas.openxmlformats.org/drawingml/2006/main" xmlns:pic="http://schemas.openxmlformats.org/drawingml/2006/picture">
            <wp:extent cx="5029200" cy="3218688"/>
            <wp:docPr id="7" name="Picture 7"/>
            <wp:cNvGraphicFramePr>
              <a:graphicFrameLocks noChangeAspect="1"/>
            </wp:cNvGraphicFramePr>
            <a:graphic>
              <a:graphicData uri="http://schemas.openxmlformats.org/drawingml/2006/picture">
                <pic:pic>
                  <pic:nvPicPr>
                    <pic:cNvPr id="0" name="07_countplot_smoothness.png"/>
                    <pic:cNvPicPr/>
                  </pic:nvPicPr>
                  <pic:blipFill>
                    <a:blip r:embed="rId15"/>
                    <a:stretch>
                      <a:fillRect/>
                    </a:stretch>
                  </pic:blipFill>
                  <pic:spPr>
                    <a:xfrm>
                      <a:off x="0" y="0"/>
                      <a:ext cx="5029200" cy="3218688"/>
                    </a:xfrm>
                    <a:prstGeom prst="rect"/>
                  </pic:spPr>
                </pic:pic>
              </a:graphicData>
            </a:graphic>
          </wp:inline>
        </w:drawing>
      </w:r>
    </w:p>
    <w:p>
      <w:pPr>
        <w:spacing w:after="120"/>
      </w:pPr>
      <w:r/>
      <w:r>
        <w:rPr>
          <w:i/>
        </w:rPr>
        <w:t>Figure 7: High nuclear smoothness levels correlate with elevated malignant frequency.</w:t>
      </w:r>
      <w:r/>
    </w:p>
    <w:p>
      <w:pPr>
        <w:spacing w:before="200" w:after="80"/>
      </w:pPr>
      <w:r>
        <w:rPr>
          <w:b/>
          <w:color w:val="2D3748"/>
          <w:sz w:val="24"/>
        </w:rPr>
        <w:t>Figure 8: Morphometric Mean Feature Profile</w:t>
      </w:r>
    </w:p>
    <w:p>
      <w:pPr>
        <w:spacing w:after="240"/>
        <w:jc w:val="center"/>
      </w:pPr>
      <w:r>
        <w:drawing>
          <wp:inline xmlns:a="http://schemas.openxmlformats.org/drawingml/2006/main" xmlns:pic="http://schemas.openxmlformats.org/drawingml/2006/picture">
            <wp:extent cx="5029200" cy="2682240"/>
            <wp:docPr id="8" name="Picture 8"/>
            <wp:cNvGraphicFramePr>
              <a:graphicFrameLocks noChangeAspect="1"/>
            </wp:cNvGraphicFramePr>
            <a:graphic>
              <a:graphicData uri="http://schemas.openxmlformats.org/drawingml/2006/picture">
                <pic:pic>
                  <pic:nvPicPr>
                    <pic:cNvPr id="0" name="08_line_feature_profile.png"/>
                    <pic:cNvPicPr/>
                  </pic:nvPicPr>
                  <pic:blipFill>
                    <a:blip r:embed="rId16"/>
                    <a:stretch>
                      <a:fillRect/>
                    </a:stretch>
                  </pic:blipFill>
                  <pic:spPr>
                    <a:xfrm>
                      <a:off x="0" y="0"/>
                      <a:ext cx="5029200" cy="2682240"/>
                    </a:xfrm>
                    <a:prstGeom prst="rect"/>
                  </pic:spPr>
                </pic:pic>
              </a:graphicData>
            </a:graphic>
          </wp:inline>
        </w:drawing>
      </w:r>
    </w:p>
    <w:p>
      <w:pPr>
        <w:spacing w:after="120"/>
      </w:pPr>
      <w:r/>
      <w:r>
        <w:rPr>
          <w:i/>
        </w:rPr>
        <w:t>Figure 8: Morphometric line profiles showing malignant elevation across all nuclear measurements.</w:t>
      </w:r>
      <w:r/>
    </w:p>
    <w:p>
      <w:pPr>
        <w:spacing w:before="200" w:after="80"/>
      </w:pPr>
      <w:r>
        <w:rPr>
          <w:b/>
          <w:color w:val="2D3748"/>
          <w:sz w:val="24"/>
        </w:rPr>
        <w:t>Figure 9: Confusion Matrix Heatmap</w:t>
      </w:r>
    </w:p>
    <w:p>
      <w:pPr>
        <w:spacing w:after="240"/>
        <w:jc w:val="center"/>
      </w:pPr>
      <w:r>
        <w:drawing>
          <wp:inline xmlns:a="http://schemas.openxmlformats.org/drawingml/2006/main" xmlns:pic="http://schemas.openxmlformats.org/drawingml/2006/picture">
            <wp:extent cx="5029200" cy="4191000"/>
            <wp:docPr id="9" name="Picture 9"/>
            <wp:cNvGraphicFramePr>
              <a:graphicFrameLocks noChangeAspect="1"/>
            </wp:cNvGraphicFramePr>
            <a:graphic>
              <a:graphicData uri="http://schemas.openxmlformats.org/drawingml/2006/picture">
                <pic:pic>
                  <pic:nvPicPr>
                    <pic:cNvPr id="0" name="09_confusion_matrix.png"/>
                    <pic:cNvPicPr/>
                  </pic:nvPicPr>
                  <pic:blipFill>
                    <a:blip r:embed="rId17"/>
                    <a:stretch>
                      <a:fillRect/>
                    </a:stretch>
                  </pic:blipFill>
                  <pic:spPr>
                    <a:xfrm>
                      <a:off x="0" y="0"/>
                      <a:ext cx="5029200" cy="4191000"/>
                    </a:xfrm>
                    <a:prstGeom prst="rect"/>
                  </pic:spPr>
                </pic:pic>
              </a:graphicData>
            </a:graphic>
          </wp:inline>
        </w:drawing>
      </w:r>
    </w:p>
    <w:p>
      <w:pPr>
        <w:spacing w:after="120"/>
      </w:pPr>
      <w:r/>
      <w:r>
        <w:rPr>
          <w:i/>
        </w:rPr>
        <w:t>Figure 9: Confusion matrix showing 145 True Benign and 68 True Malignant classifications.</w:t>
      </w:r>
      <w:r/>
    </w:p>
    <w:p>
      <w:pPr>
        <w:spacing w:before="200" w:after="80"/>
      </w:pPr>
      <w:r>
        <w:rPr>
          <w:b/>
          <w:color w:val="2D3748"/>
          <w:sz w:val="24"/>
        </w:rPr>
        <w:t>Figure 10: Receiver Operating Characteristic (ROC) Curve</w:t>
      </w:r>
    </w:p>
    <w:p>
      <w:pPr>
        <w:spacing w:after="240"/>
        <w:jc w:val="center"/>
      </w:pPr>
      <w:r>
        <w:drawing>
          <wp:inline xmlns:a="http://schemas.openxmlformats.org/drawingml/2006/main" xmlns:pic="http://schemas.openxmlformats.org/drawingml/2006/picture">
            <wp:extent cx="5029200" cy="3951514"/>
            <wp:docPr id="10" name="Picture 10"/>
            <wp:cNvGraphicFramePr>
              <a:graphicFrameLocks noChangeAspect="1"/>
            </wp:cNvGraphicFramePr>
            <a:graphic>
              <a:graphicData uri="http://schemas.openxmlformats.org/drawingml/2006/picture">
                <pic:pic>
                  <pic:nvPicPr>
                    <pic:cNvPr id="0" name="13_roc_curve.png"/>
                    <pic:cNvPicPr/>
                  </pic:nvPicPr>
                  <pic:blipFill>
                    <a:blip r:embed="rId18"/>
                    <a:stretch>
                      <a:fillRect/>
                    </a:stretch>
                  </pic:blipFill>
                  <pic:spPr>
                    <a:xfrm>
                      <a:off x="0" y="0"/>
                      <a:ext cx="5029200" cy="3951514"/>
                    </a:xfrm>
                    <a:prstGeom prst="rect"/>
                  </pic:spPr>
                </pic:pic>
              </a:graphicData>
            </a:graphic>
          </wp:inline>
        </w:drawing>
      </w:r>
    </w:p>
    <w:p>
      <w:pPr>
        <w:spacing w:after="120"/>
      </w:pPr>
      <w:r/>
      <w:r>
        <w:rPr>
          <w:i/>
        </w:rPr>
        <w:t>Figure 10: ROC curve demonstrating exceptional discriminatory power with AUC = 0.9887.</w:t>
      </w:r>
      <w:r/>
    </w:p>
    <w:p>
      <w:pPr>
        <w:spacing w:before="280" w:after="120"/>
      </w:pPr>
      <w:r>
        <w:rPr>
          <w:b/>
          <w:color w:val="2B6CB0"/>
          <w:sz w:val="30"/>
        </w:rPr>
        <w:t>2.7 Feature Engineering</w:t>
      </w:r>
    </w:p>
    <w:p>
      <w:pPr>
        <w:spacing w:after="120"/>
      </w:pPr>
      <w:r>
        <w:t>The 30 numerical attributes were structured into three clinical categories:</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2B6CB0"/>
          </w:tcPr>
          <w:p>
            <w:pPr>
              <w:spacing w:before="80" w:after="80"/>
            </w:pPr>
            <w:r>
              <w:rPr>
                <w:b/>
                <w:color w:val="FFFFFF"/>
                <w:sz w:val="20"/>
              </w:rPr>
              <w:t>Group</w:t>
            </w:r>
          </w:p>
        </w:tc>
        <w:tc>
          <w:tcPr>
            <w:tcW w:type="dxa" w:w="3120"/>
            <w:shd w:val="clear" w:color="auto" w:fill="2B6CB0"/>
          </w:tcPr>
          <w:p>
            <w:pPr>
              <w:spacing w:before="80" w:after="80"/>
            </w:pPr>
            <w:r>
              <w:rPr>
                <w:b/>
                <w:color w:val="FFFFFF"/>
                <w:sz w:val="20"/>
              </w:rPr>
              <w:t>Count</w:t>
            </w:r>
          </w:p>
        </w:tc>
        <w:tc>
          <w:tcPr>
            <w:tcW w:type="dxa" w:w="3120"/>
            <w:shd w:val="clear" w:color="auto" w:fill="2B6CB0"/>
          </w:tcPr>
          <w:p>
            <w:pPr>
              <w:spacing w:before="80" w:after="80"/>
            </w:pPr>
            <w:r>
              <w:rPr>
                <w:b/>
                <w:color w:val="FFFFFF"/>
                <w:sz w:val="20"/>
              </w:rPr>
              <w:t>Attributes Included</w:t>
            </w:r>
          </w:p>
        </w:tc>
      </w:tr>
      <w:tr>
        <w:tc>
          <w:tcPr>
            <w:tcW w:type="dxa" w:w="3120"/>
          </w:tcPr>
          <w:p>
            <w:pPr>
              <w:spacing w:before="80" w:after="80"/>
            </w:pPr>
            <w:r>
              <w:rPr>
                <w:sz w:val="19"/>
              </w:rPr>
              <w:t>Mean</w:t>
            </w:r>
          </w:p>
        </w:tc>
        <w:tc>
          <w:tcPr>
            <w:tcW w:type="dxa" w:w="3120"/>
          </w:tcPr>
          <w:p>
            <w:pPr>
              <w:spacing w:before="80" w:after="80"/>
            </w:pPr>
            <w:r>
              <w:rPr>
                <w:sz w:val="19"/>
              </w:rPr>
              <w:t>10</w:t>
            </w:r>
          </w:p>
        </w:tc>
        <w:tc>
          <w:tcPr>
            <w:tcW w:type="dxa" w:w="3120"/>
          </w:tcPr>
          <w:p>
            <w:pPr>
              <w:spacing w:before="80" w:after="80"/>
            </w:pPr>
            <w:r>
              <w:rPr>
                <w:sz w:val="19"/>
              </w:rPr>
              <w:t>radius_mean, texture_mean, perimeter_mean, area_mean, smoothness_mean, compactness_mean, concavity_mean, concave points_mean, symmetry_mean, fractal_dimension_mean</w:t>
            </w:r>
          </w:p>
        </w:tc>
      </w:tr>
      <w:tr>
        <w:tc>
          <w:tcPr>
            <w:tcW w:type="dxa" w:w="3120"/>
            <w:shd w:val="clear" w:color="auto" w:fill="F7FAFC"/>
          </w:tcPr>
          <w:p>
            <w:pPr>
              <w:spacing w:before="80" w:after="80"/>
            </w:pPr>
            <w:r>
              <w:rPr>
                <w:sz w:val="19"/>
              </w:rPr>
              <w:t>SE</w:t>
            </w:r>
          </w:p>
        </w:tc>
        <w:tc>
          <w:tcPr>
            <w:tcW w:type="dxa" w:w="3120"/>
            <w:shd w:val="clear" w:color="auto" w:fill="F7FAFC"/>
          </w:tcPr>
          <w:p>
            <w:pPr>
              <w:spacing w:before="80" w:after="80"/>
            </w:pPr>
            <w:r>
              <w:rPr>
                <w:sz w:val="19"/>
              </w:rPr>
              <w:t>10</w:t>
            </w:r>
          </w:p>
        </w:tc>
        <w:tc>
          <w:tcPr>
            <w:tcW w:type="dxa" w:w="3120"/>
            <w:shd w:val="clear" w:color="auto" w:fill="F7FAFC"/>
          </w:tcPr>
          <w:p>
            <w:pPr>
              <w:spacing w:before="80" w:after="80"/>
            </w:pPr>
            <w:r>
              <w:rPr>
                <w:sz w:val="19"/>
              </w:rPr>
              <w:t>radius_se, texture_se, perimeter_se, area_se, smoothness_se, compactness_se, concavity_se, concave points_se, symmetry_se, fractal_dimension_se</w:t>
            </w:r>
          </w:p>
        </w:tc>
      </w:tr>
      <w:tr>
        <w:tc>
          <w:tcPr>
            <w:tcW w:type="dxa" w:w="3120"/>
          </w:tcPr>
          <w:p>
            <w:pPr>
              <w:spacing w:before="80" w:after="80"/>
            </w:pPr>
            <w:r>
              <w:rPr>
                <w:sz w:val="19"/>
              </w:rPr>
              <w:t>Worst</w:t>
            </w:r>
          </w:p>
        </w:tc>
        <w:tc>
          <w:tcPr>
            <w:tcW w:type="dxa" w:w="3120"/>
          </w:tcPr>
          <w:p>
            <w:pPr>
              <w:spacing w:before="80" w:after="80"/>
            </w:pPr>
            <w:r>
              <w:rPr>
                <w:sz w:val="19"/>
              </w:rPr>
              <w:t>10</w:t>
            </w:r>
          </w:p>
        </w:tc>
        <w:tc>
          <w:tcPr>
            <w:tcW w:type="dxa" w:w="3120"/>
          </w:tcPr>
          <w:p>
            <w:pPr>
              <w:spacing w:before="80" w:after="80"/>
            </w:pPr>
            <w:r>
              <w:rPr>
                <w:sz w:val="19"/>
              </w:rPr>
              <w:t>radius_worst, texture_worst, perimeter_worst, area_worst, smoothness_worst, compactness_worst, concavity_worst, concave points_worst, symmetry_worst, fractal_dimension_worst</w:t>
            </w:r>
          </w:p>
        </w:tc>
      </w:tr>
    </w:tbl>
    <w:p/>
    <w:p>
      <w:pPr>
        <w:spacing w:after="120"/>
      </w:pPr>
      <w:r/>
      <w:r>
        <w:rPr>
          <w:b/>
        </w:rPr>
        <w:t>Transformation &amp; Binning:</w:t>
      </w:r>
      <w:r>
        <w:t xml:space="preserve"> Quantile binning (</w:t>
      </w:r>
      <w:r>
        <w:rPr>
          <w:rFonts w:ascii="Consolas" w:hAnsi="Consolas"/>
          <w:sz w:val="19"/>
        </w:rPr>
        <w:t>pd.qcut</w:t>
      </w:r>
      <w:r>
        <w:t xml:space="preserve">) was applied on </w:t>
      </w:r>
      <w:r>
        <w:rPr>
          <w:rFonts w:ascii="Consolas" w:hAnsi="Consolas"/>
          <w:sz w:val="19"/>
        </w:rPr>
        <w:t>smoothness_mean</w:t>
      </w:r>
      <w:r>
        <w:t xml:space="preserve"> to produce three tertiaries (</w:t>
      </w:r>
      <w:r>
        <w:rPr>
          <w:rFonts w:ascii="Consolas" w:hAnsi="Consolas"/>
          <w:sz w:val="19"/>
        </w:rPr>
        <w:t>Low</w:t>
      </w:r>
      <w:r>
        <w:t xml:space="preserve">, </w:t>
      </w:r>
      <w:r>
        <w:rPr>
          <w:rFonts w:ascii="Consolas" w:hAnsi="Consolas"/>
          <w:sz w:val="19"/>
        </w:rPr>
        <w:t>Medium</w:t>
      </w:r>
      <w:r>
        <w:t xml:space="preserve">, </w:t>
      </w:r>
      <w:r>
        <w:rPr>
          <w:rFonts w:ascii="Consolas" w:hAnsi="Consolas"/>
          <w:sz w:val="19"/>
        </w:rPr>
        <w:t>High</w:t>
      </w:r>
      <w:r>
        <w:t>) for categorical frequency analysis.</w:t>
      </w:r>
    </w:p>
    <w:p>
      <w:pPr>
        <w:spacing w:before="280" w:after="120"/>
      </w:pPr>
      <w:r>
        <w:rPr>
          <w:b/>
          <w:color w:val="2B6CB0"/>
          <w:sz w:val="30"/>
        </w:rPr>
        <w:t>2.8 Feature Selection</w:t>
      </w:r>
    </w:p>
    <w:p>
      <w:pPr>
        <w:spacing w:after="120"/>
      </w:pPr>
      <w:r>
        <w:t xml:space="preserve">Highly correlated geometric features ($r &gt; 0.95$) cause severe variance inflation in linear models. To ensure stable coefficients, </w:t>
      </w:r>
      <w:r>
        <w:rPr>
          <w:rFonts w:ascii="Consolas" w:hAnsi="Consolas"/>
          <w:sz w:val="19"/>
        </w:rPr>
        <w:t>perimeter_mean</w:t>
      </w:r>
      <w:r>
        <w:t xml:space="preserve"> and </w:t>
      </w:r>
      <w:r>
        <w:rPr>
          <w:rFonts w:ascii="Consolas" w:hAnsi="Consolas"/>
          <w:sz w:val="19"/>
        </w:rPr>
        <w:t>area_mean</w:t>
      </w:r>
      <w:r>
        <w:t xml:space="preserve"> were dropped due to redundant correlation ($r &gt; 0.98$) with </w:t>
      </w:r>
      <w:r>
        <w:rPr>
          <w:rFonts w:ascii="Consolas" w:hAnsi="Consolas"/>
          <w:sz w:val="19"/>
        </w:rPr>
        <w:t>radius_mean</w:t>
      </w:r>
      <w:r>
        <w:t>.</w:t>
      </w:r>
    </w:p>
    <w:p>
      <w:pPr>
        <w:spacing w:before="200" w:after="80"/>
      </w:pPr>
      <w:r>
        <w:rPr>
          <w:b/>
          <w:color w:val="2D3748"/>
          <w:sz w:val="24"/>
        </w:rPr>
        <w:t>Selected 7 Features for Logistic Regression</w:t>
      </w:r>
    </w:p>
    <w:tbl>
      <w:tblPr>
        <w:tblW w:type="auto" w:w="0"/>
        <w:jc w:val="center"/>
        <w:tblLook w:firstColumn="1" w:firstRow="1" w:lastColumn="0" w:lastRow="0" w:noHBand="0" w:noVBand="1" w:val="04A0"/>
      </w:tblPr>
      <w:tblGrid>
        <w:gridCol w:w="3120"/>
        <w:gridCol w:w="3120"/>
        <w:gridCol w:w="3120"/>
      </w:tblGrid>
      <w:tr>
        <w:tc>
          <w:tcPr>
            <w:tcW w:type="dxa" w:w="3120"/>
            <w:shd w:val="clear" w:color="auto" w:fill="2B6CB0"/>
          </w:tcPr>
          <w:p>
            <w:pPr>
              <w:spacing w:before="80" w:after="80"/>
            </w:pPr>
            <w:r>
              <w:rPr>
                <w:b/>
                <w:color w:val="FFFFFF"/>
                <w:sz w:val="20"/>
              </w:rPr>
              <w:t>#</w:t>
            </w:r>
          </w:p>
        </w:tc>
        <w:tc>
          <w:tcPr>
            <w:tcW w:type="dxa" w:w="3120"/>
            <w:shd w:val="clear" w:color="auto" w:fill="2B6CB0"/>
          </w:tcPr>
          <w:p>
            <w:pPr>
              <w:spacing w:before="80" w:after="80"/>
            </w:pPr>
            <w:r>
              <w:rPr>
                <w:b/>
                <w:color w:val="FFFFFF"/>
                <w:sz w:val="20"/>
              </w:rPr>
              <w:t>Feature</w:t>
            </w:r>
          </w:p>
        </w:tc>
        <w:tc>
          <w:tcPr>
            <w:tcW w:type="dxa" w:w="3120"/>
            <w:shd w:val="clear" w:color="auto" w:fill="2B6CB0"/>
          </w:tcPr>
          <w:p>
            <w:pPr>
              <w:spacing w:before="80" w:after="80"/>
            </w:pPr>
            <w:r>
              <w:rPr>
                <w:b/>
                <w:color w:val="FFFFFF"/>
                <w:sz w:val="20"/>
              </w:rPr>
              <w:t>Biological &amp; Diagnostic Justification</w:t>
            </w:r>
          </w:p>
        </w:tc>
      </w:tr>
      <w:tr>
        <w:tc>
          <w:tcPr>
            <w:tcW w:type="dxa" w:w="3120"/>
          </w:tcPr>
          <w:p>
            <w:pPr>
              <w:spacing w:before="80" w:after="80"/>
            </w:pPr>
            <w:r>
              <w:rPr>
                <w:sz w:val="19"/>
              </w:rPr>
              <w:t>1</w:t>
            </w:r>
          </w:p>
        </w:tc>
        <w:tc>
          <w:tcPr>
            <w:tcW w:type="dxa" w:w="3120"/>
          </w:tcPr>
          <w:p>
            <w:pPr>
              <w:spacing w:before="80" w:after="80"/>
            </w:pPr>
            <w:r>
              <w:rPr>
                <w:sz w:val="19"/>
              </w:rPr>
              <w:t>radius_mean</w:t>
            </w:r>
          </w:p>
        </w:tc>
        <w:tc>
          <w:tcPr>
            <w:tcW w:type="dxa" w:w="3120"/>
          </w:tcPr>
          <w:p>
            <w:pPr>
              <w:spacing w:before="80" w:after="80"/>
            </w:pPr>
            <w:r>
              <w:rPr>
                <w:sz w:val="19"/>
              </w:rPr>
              <w:t>Strongest primary geometric discriminator of tumor size</w:t>
            </w:r>
          </w:p>
        </w:tc>
      </w:tr>
      <w:tr>
        <w:tc>
          <w:tcPr>
            <w:tcW w:type="dxa" w:w="3120"/>
            <w:shd w:val="clear" w:color="auto" w:fill="F7FAFC"/>
          </w:tcPr>
          <w:p>
            <w:pPr>
              <w:spacing w:before="80" w:after="80"/>
            </w:pPr>
            <w:r>
              <w:rPr>
                <w:sz w:val="19"/>
              </w:rPr>
              <w:t>2</w:t>
            </w:r>
          </w:p>
        </w:tc>
        <w:tc>
          <w:tcPr>
            <w:tcW w:type="dxa" w:w="3120"/>
            <w:shd w:val="clear" w:color="auto" w:fill="F7FAFC"/>
          </w:tcPr>
          <w:p>
            <w:pPr>
              <w:spacing w:before="80" w:after="80"/>
            </w:pPr>
            <w:r>
              <w:rPr>
                <w:sz w:val="19"/>
              </w:rPr>
              <w:t>texture_mean</w:t>
            </w:r>
          </w:p>
        </w:tc>
        <w:tc>
          <w:tcPr>
            <w:tcW w:type="dxa" w:w="3120"/>
            <w:shd w:val="clear" w:color="auto" w:fill="F7FAFC"/>
          </w:tcPr>
          <w:p>
            <w:pPr>
              <w:spacing w:before="80" w:after="80"/>
            </w:pPr>
            <w:r>
              <w:rPr>
                <w:sz w:val="19"/>
              </w:rPr>
              <w:t>Measures gray-scale variance in FNA image, independent of geometry</w:t>
            </w:r>
          </w:p>
        </w:tc>
      </w:tr>
      <w:tr>
        <w:tc>
          <w:tcPr>
            <w:tcW w:type="dxa" w:w="3120"/>
          </w:tcPr>
          <w:p>
            <w:pPr>
              <w:spacing w:before="80" w:after="80"/>
            </w:pPr>
            <w:r>
              <w:rPr>
                <w:sz w:val="19"/>
              </w:rPr>
              <w:t>3</w:t>
            </w:r>
          </w:p>
        </w:tc>
        <w:tc>
          <w:tcPr>
            <w:tcW w:type="dxa" w:w="3120"/>
          </w:tcPr>
          <w:p>
            <w:pPr>
              <w:spacing w:before="80" w:after="80"/>
            </w:pPr>
            <w:r>
              <w:rPr>
                <w:sz w:val="19"/>
              </w:rPr>
              <w:t>smoothness_mean</w:t>
            </w:r>
          </w:p>
        </w:tc>
        <w:tc>
          <w:tcPr>
            <w:tcW w:type="dxa" w:w="3120"/>
          </w:tcPr>
          <w:p>
            <w:pPr>
              <w:spacing w:before="80" w:after="80"/>
            </w:pPr>
            <w:r>
              <w:rPr>
                <w:sz w:val="19"/>
              </w:rPr>
              <w:t>Surface irregularity indicator (radius length local variance)</w:t>
            </w:r>
          </w:p>
        </w:tc>
      </w:tr>
      <w:tr>
        <w:tc>
          <w:tcPr>
            <w:tcW w:type="dxa" w:w="3120"/>
            <w:shd w:val="clear" w:color="auto" w:fill="F7FAFC"/>
          </w:tcPr>
          <w:p>
            <w:pPr>
              <w:spacing w:before="80" w:after="80"/>
            </w:pPr>
            <w:r>
              <w:rPr>
                <w:sz w:val="19"/>
              </w:rPr>
              <w:t>4</w:t>
            </w:r>
          </w:p>
        </w:tc>
        <w:tc>
          <w:tcPr>
            <w:tcW w:type="dxa" w:w="3120"/>
            <w:shd w:val="clear" w:color="auto" w:fill="F7FAFC"/>
          </w:tcPr>
          <w:p>
            <w:pPr>
              <w:spacing w:before="80" w:after="80"/>
            </w:pPr>
            <w:r>
              <w:rPr>
                <w:sz w:val="19"/>
              </w:rPr>
              <w:t>compactness_mean</w:t>
            </w:r>
          </w:p>
        </w:tc>
        <w:tc>
          <w:tcPr>
            <w:tcW w:type="dxa" w:w="3120"/>
            <w:shd w:val="clear" w:color="auto" w:fill="F7FAFC"/>
          </w:tcPr>
          <w:p>
            <w:pPr>
              <w:spacing w:before="80" w:after="80"/>
            </w:pPr>
            <w:r>
              <w:rPr>
                <w:sz w:val="19"/>
              </w:rPr>
              <w:t>Nuclear shape complexity derived from $\frac{perimeter^2}{area} - 1.0$</w:t>
            </w:r>
          </w:p>
        </w:tc>
      </w:tr>
      <w:tr>
        <w:tc>
          <w:tcPr>
            <w:tcW w:type="dxa" w:w="3120"/>
          </w:tcPr>
          <w:p>
            <w:pPr>
              <w:spacing w:before="80" w:after="80"/>
            </w:pPr>
            <w:r>
              <w:rPr>
                <w:sz w:val="19"/>
              </w:rPr>
              <w:t>5</w:t>
            </w:r>
          </w:p>
        </w:tc>
        <w:tc>
          <w:tcPr>
            <w:tcW w:type="dxa" w:w="3120"/>
          </w:tcPr>
          <w:p>
            <w:pPr>
              <w:spacing w:before="80" w:after="80"/>
            </w:pPr>
            <w:r>
              <w:rPr>
                <w:sz w:val="19"/>
              </w:rPr>
              <w:t>concavity_mean</w:t>
            </w:r>
          </w:p>
        </w:tc>
        <w:tc>
          <w:tcPr>
            <w:tcW w:type="dxa" w:w="3120"/>
          </w:tcPr>
          <w:p>
            <w:pPr>
              <w:spacing w:before="80" w:after="80"/>
            </w:pPr>
            <w:r>
              <w:rPr>
                <w:sz w:val="19"/>
              </w:rPr>
              <w:t>Severity of concave indentations along the nuclear contour</w:t>
            </w:r>
          </w:p>
        </w:tc>
      </w:tr>
      <w:tr>
        <w:tc>
          <w:tcPr>
            <w:tcW w:type="dxa" w:w="3120"/>
            <w:shd w:val="clear" w:color="auto" w:fill="F7FAFC"/>
          </w:tcPr>
          <w:p>
            <w:pPr>
              <w:spacing w:before="80" w:after="80"/>
            </w:pPr>
            <w:r>
              <w:rPr>
                <w:sz w:val="19"/>
              </w:rPr>
              <w:t>6</w:t>
            </w:r>
          </w:p>
        </w:tc>
        <w:tc>
          <w:tcPr>
            <w:tcW w:type="dxa" w:w="3120"/>
            <w:shd w:val="clear" w:color="auto" w:fill="F7FAFC"/>
          </w:tcPr>
          <w:p>
            <w:pPr>
              <w:spacing w:before="80" w:after="80"/>
            </w:pPr>
            <w:r>
              <w:rPr>
                <w:sz w:val="19"/>
              </w:rPr>
              <w:t>concave points_mean</w:t>
            </w:r>
          </w:p>
        </w:tc>
        <w:tc>
          <w:tcPr>
            <w:tcW w:type="dxa" w:w="3120"/>
            <w:shd w:val="clear" w:color="auto" w:fill="F7FAFC"/>
          </w:tcPr>
          <w:p>
            <w:pPr>
              <w:spacing w:before="80" w:after="80"/>
            </w:pPr>
            <w:r>
              <w:rPr>
                <w:sz w:val="19"/>
              </w:rPr>
              <w:t>Number of concave contour points; highest individual diagnostic power</w:t>
            </w:r>
          </w:p>
        </w:tc>
      </w:tr>
      <w:tr>
        <w:tc>
          <w:tcPr>
            <w:tcW w:type="dxa" w:w="3120"/>
          </w:tcPr>
          <w:p>
            <w:pPr>
              <w:spacing w:before="80" w:after="80"/>
            </w:pPr>
            <w:r>
              <w:rPr>
                <w:sz w:val="19"/>
              </w:rPr>
              <w:t>7</w:t>
            </w:r>
          </w:p>
        </w:tc>
        <w:tc>
          <w:tcPr>
            <w:tcW w:type="dxa" w:w="3120"/>
          </w:tcPr>
          <w:p>
            <w:pPr>
              <w:spacing w:before="80" w:after="80"/>
            </w:pPr>
            <w:r>
              <w:rPr>
                <w:sz w:val="19"/>
              </w:rPr>
              <w:t>symmetry_mean</w:t>
            </w:r>
          </w:p>
        </w:tc>
        <w:tc>
          <w:tcPr>
            <w:tcW w:type="dxa" w:w="3120"/>
          </w:tcPr>
          <w:p>
            <w:pPr>
              <w:spacing w:before="80" w:after="80"/>
            </w:pPr>
            <w:r>
              <w:rPr>
                <w:sz w:val="19"/>
              </w:rPr>
              <w:t>Nuclear structural asymmetry</w:t>
            </w:r>
          </w:p>
        </w:tc>
      </w:tr>
    </w:tbl>
    <w:p/>
    <w:p>
      <w:pPr>
        <w:spacing w:before="280" w:after="120"/>
      </w:pPr>
      <w:r>
        <w:rPr>
          <w:b/>
          <w:color w:val="2B6CB0"/>
          <w:sz w:val="30"/>
        </w:rPr>
        <w:t>2.9 Machine Learning Model Development</w:t>
      </w:r>
    </w:p>
    <w:p>
      <w:pPr>
        <w:spacing w:after="120"/>
      </w:pPr>
      <w:r>
        <w:t xml:space="preserve">Per CSE 4114 syllabus requirements, models spanning </w:t>
      </w:r>
      <w:r>
        <w:rPr>
          <w:b/>
        </w:rPr>
        <w:t>Classification</w:t>
      </w:r>
      <w:r>
        <w:t xml:space="preserve">, </w:t>
      </w:r>
      <w:r>
        <w:rPr>
          <w:b/>
        </w:rPr>
        <w:t>Clustering</w:t>
      </w:r>
      <w:r>
        <w:t xml:space="preserve">, and </w:t>
      </w:r>
      <w:r>
        <w:rPr>
          <w:b/>
        </w:rPr>
        <w:t>Regression</w:t>
      </w:r>
      <w:r>
        <w:t xml:space="preserve"> were implemented:</w:t>
      </w:r>
    </w:p>
    <w:p>
      <w:pPr>
        <w:spacing w:before="200" w:after="80"/>
      </w:pPr>
      <w:r>
        <w:rPr>
          <w:b/>
          <w:color w:val="2D3748"/>
          <w:sz w:val="24"/>
        </w:rPr>
        <w:t>1. Classification (Supervised Primary Model) — Logistic Regression</w:t>
      </w:r>
    </w:p>
    <w:p>
      <w:pPr>
        <w:spacing w:after="120"/>
      </w:pPr>
      <w:r>
        <w:t>Logistic Regression models the probability of malignancy using the Sigmoid link function:</w:t>
      </w:r>
    </w:p>
    <w:p>
      <w:pPr>
        <w:spacing w:after="120"/>
      </w:pPr>
      <w:r>
        <w:t>$$P(Y=1|X) = \frac{1}{1 + e^{-z}}$$</w:t>
      </w:r>
    </w:p>
    <w:p>
      <w:pPr>
        <w:spacing w:after="120"/>
      </w:pPr>
      <w:r>
        <w:t>$$\text{where } z = \beta_0 + \beta_1 x_1 + \beta_2 x_2 + \dots + \beta_7 x_7$$</w:t>
      </w:r>
    </w:p>
    <w:p>
      <w:pPr>
        <w:spacing w:after="120"/>
      </w:pPr>
      <w:r/>
      <w:r>
        <w:rPr>
          <w:b/>
        </w:rPr>
        <w:t>Decision Rule:</w:t>
      </w:r>
      <w:r>
        <w:t xml:space="preserve"> If $P(Y=1|X) \ge 0.50 \implies \text{Malignant}$; If $P(Y=1|X) &lt; 0.50 \implies \text{Benign}$.</w:t>
      </w:r>
    </w:p>
    <w:p>
      <w:pPr>
        <w:spacing w:after="120"/>
      </w:pPr>
      <w:r/>
      <w:r>
        <w:rPr>
          <w:b/>
        </w:rPr>
        <w:t>Train / Test Partition:</w:t>
      </w:r>
      <w:r/>
    </w:p>
    <w:p>
      <w:pPr>
        <w:pStyle w:val="ListBullet"/>
        <w:spacing w:after="60"/>
      </w:pPr>
      <w:r>
        <w:t>Training Set: 910 samples (80%)</w:t>
      </w:r>
    </w:p>
    <w:p>
      <w:pPr>
        <w:pStyle w:val="ListBullet"/>
        <w:spacing w:after="60"/>
      </w:pPr>
      <w:r>
        <w:t>Test Set: 228 samples (20%)</w:t>
      </w:r>
    </w:p>
    <w:p>
      <w:pPr>
        <w:pStyle w:val="ListBullet"/>
        <w:spacing w:after="60"/>
      </w:pPr>
      <w:r>
        <w:t>`random_state = 42` for reproducibility</w:t>
      </w:r>
    </w:p>
    <w:p>
      <w:pPr>
        <w:spacing w:before="200" w:after="80"/>
      </w:pPr>
      <w:r>
        <w:rPr>
          <w:b/>
          <w:color w:val="2D3748"/>
          <w:sz w:val="24"/>
        </w:rPr>
        <w:t>2. Supervised Benchmark Classifiers</w:t>
      </w:r>
    </w:p>
    <w:p>
      <w:pPr>
        <w:pStyle w:val="ListBullet"/>
        <w:spacing w:after="60"/>
      </w:pPr>
      <w:r/>
      <w:r>
        <w:rPr>
          <w:b/>
        </w:rPr>
        <w:t>Decision Tree Classifier:</w:t>
      </w:r>
      <w:r>
        <w:t xml:space="preserve"> Configured with `max_depth=5` to extract transparent hierarchical decision rules.</w:t>
      </w:r>
    </w:p>
    <w:p>
      <w:pPr>
        <w:pStyle w:val="ListBullet"/>
        <w:spacing w:after="60"/>
      </w:pPr>
      <w:r/>
      <w:r>
        <w:rPr>
          <w:b/>
        </w:rPr>
        <w:t>Random Forest Classifier:</w:t>
      </w:r>
      <w:r>
        <w:t xml:space="preserve"> Ensemble of 100 decision trees (`n_estimators=100`, `max_depth=5`) providing an upper-bound accuracy benchmark.</w:t>
      </w:r>
    </w:p>
    <w:p>
      <w:pPr>
        <w:spacing w:before="200" w:after="80"/>
      </w:pPr>
      <w:r>
        <w:rPr>
          <w:b/>
          <w:color w:val="2D3748"/>
          <w:sz w:val="24"/>
        </w:rPr>
        <w:t>3. Unsupervised Clustering — K-Means ($K=2$)</w:t>
      </w:r>
    </w:p>
    <w:p>
      <w:pPr>
        <w:pStyle w:val="ListBullet"/>
        <w:spacing w:after="60"/>
      </w:pPr>
      <w:r>
        <w:t>Applied K-Means on continuous nuclear features without using historical diagnosis labels.</w:t>
      </w:r>
    </w:p>
    <w:p>
      <w:pPr>
        <w:pStyle w:val="ListBullet"/>
        <w:spacing w:after="60"/>
      </w:pPr>
      <w:r>
        <w:t>Evaluated with an Elbow Curve across $K \in [2, 7]$ and Silhouette Score analysis (~0.41 at $K=2$).</w:t>
      </w:r>
    </w:p>
    <w:p>
      <w:pPr>
        <w:pStyle w:val="ListBullet"/>
        <w:spacing w:after="60"/>
      </w:pPr>
      <w:r>
        <w:t>Projected into 2D Principal Component Analysis (PCA) space, demonstrating that unsupervised clusters naturally map to malignant and benign pathology.</w:t>
      </w:r>
    </w:p>
    <w:p>
      <w:pPr>
        <w:spacing w:before="200" w:after="80"/>
      </w:pPr>
      <w:r>
        <w:rPr>
          <w:b/>
          <w:color w:val="2D3748"/>
          <w:sz w:val="24"/>
        </w:rPr>
        <w:t>4. Predictive Modeling — Multiple Linear Regression</w:t>
      </w:r>
    </w:p>
    <w:p>
      <w:pPr>
        <w:pStyle w:val="ListBullet"/>
        <w:spacing w:after="60"/>
      </w:pPr>
      <w:r>
        <w:t>Trained Multiple Linear Regression predicting continuous tumor `perimeter_mean` from `radius_mean`, `area_mean`, `texture_mean`, and `diagnosis`.</w:t>
      </w:r>
    </w:p>
    <w:p>
      <w:pPr>
        <w:pStyle w:val="ListBullet"/>
        <w:spacing w:after="60"/>
      </w:pPr>
      <w:r>
        <w:t>Evaluated via $R^2$ Score, MAE, MSE, and RMSE.</w:t>
      </w:r>
    </w:p>
    <w:p>
      <w:pPr>
        <w:spacing w:before="280" w:after="120"/>
      </w:pPr>
      <w:r>
        <w:rPr>
          <w:b/>
          <w:color w:val="2B6CB0"/>
          <w:sz w:val="30"/>
        </w:rPr>
        <w:t>2.10 Model Evaluation &amp; Comparison</w:t>
      </w:r>
    </w:p>
    <w:p>
      <w:pPr>
        <w:spacing w:before="200" w:after="80"/>
      </w:pPr>
      <w:r>
        <w:rPr>
          <w:b/>
          <w:color w:val="2D3748"/>
          <w:sz w:val="24"/>
        </w:rPr>
        <w:t>Classification Benchmark Table</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2B6CB0"/>
          </w:tcPr>
          <w:p>
            <w:pPr>
              <w:spacing w:before="80" w:after="80"/>
            </w:pPr>
            <w:r>
              <w:rPr>
                <w:b/>
                <w:color w:val="FFFFFF"/>
                <w:sz w:val="20"/>
              </w:rPr>
              <w:t>Model</w:t>
            </w:r>
          </w:p>
        </w:tc>
        <w:tc>
          <w:tcPr>
            <w:tcW w:type="dxa" w:w="1560"/>
            <w:shd w:val="clear" w:color="auto" w:fill="2B6CB0"/>
          </w:tcPr>
          <w:p>
            <w:pPr>
              <w:spacing w:before="80" w:after="80"/>
            </w:pPr>
            <w:r>
              <w:rPr>
                <w:b/>
                <w:color w:val="FFFFFF"/>
                <w:sz w:val="20"/>
              </w:rPr>
              <w:t>Accuracy</w:t>
            </w:r>
          </w:p>
        </w:tc>
        <w:tc>
          <w:tcPr>
            <w:tcW w:type="dxa" w:w="1560"/>
            <w:shd w:val="clear" w:color="auto" w:fill="2B6CB0"/>
          </w:tcPr>
          <w:p>
            <w:pPr>
              <w:spacing w:before="80" w:after="80"/>
            </w:pPr>
            <w:r>
              <w:rPr>
                <w:b/>
                <w:color w:val="FFFFFF"/>
                <w:sz w:val="20"/>
              </w:rPr>
              <w:t>Precision</w:t>
            </w:r>
          </w:p>
        </w:tc>
        <w:tc>
          <w:tcPr>
            <w:tcW w:type="dxa" w:w="1560"/>
            <w:shd w:val="clear" w:color="auto" w:fill="2B6CB0"/>
          </w:tcPr>
          <w:p>
            <w:pPr>
              <w:spacing w:before="80" w:after="80"/>
            </w:pPr>
            <w:r>
              <w:rPr>
                <w:b/>
                <w:color w:val="FFFFFF"/>
                <w:sz w:val="20"/>
              </w:rPr>
              <w:t>Recall</w:t>
            </w:r>
          </w:p>
        </w:tc>
        <w:tc>
          <w:tcPr>
            <w:tcW w:type="dxa" w:w="1560"/>
            <w:shd w:val="clear" w:color="auto" w:fill="2B6CB0"/>
          </w:tcPr>
          <w:p>
            <w:pPr>
              <w:spacing w:before="80" w:after="80"/>
            </w:pPr>
            <w:r>
              <w:rPr>
                <w:b/>
                <w:color w:val="FFFFFF"/>
                <w:sz w:val="20"/>
              </w:rPr>
              <w:t>F1-Score</w:t>
            </w:r>
          </w:p>
        </w:tc>
        <w:tc>
          <w:tcPr>
            <w:tcW w:type="dxa" w:w="1560"/>
            <w:shd w:val="clear" w:color="auto" w:fill="2B6CB0"/>
          </w:tcPr>
          <w:p>
            <w:pPr>
              <w:spacing w:before="80" w:after="80"/>
            </w:pPr>
            <w:r>
              <w:rPr>
                <w:b/>
                <w:color w:val="FFFFFF"/>
                <w:sz w:val="20"/>
              </w:rPr>
              <w:t>AUC-ROC</w:t>
            </w:r>
          </w:p>
        </w:tc>
      </w:tr>
      <w:tr>
        <w:tc>
          <w:tcPr>
            <w:tcW w:type="dxa" w:w="1560"/>
          </w:tcPr>
          <w:p>
            <w:pPr>
              <w:spacing w:before="80" w:after="80"/>
            </w:pPr>
            <w:r>
              <w:rPr>
                <w:sz w:val="19"/>
              </w:rPr>
              <w:t>Decision Tree (depth=5)</w:t>
            </w:r>
          </w:p>
        </w:tc>
        <w:tc>
          <w:tcPr>
            <w:tcW w:type="dxa" w:w="1560"/>
          </w:tcPr>
          <w:p>
            <w:pPr>
              <w:spacing w:before="80" w:after="80"/>
            </w:pPr>
            <w:r>
              <w:rPr>
                <w:sz w:val="19"/>
              </w:rPr>
              <w:t>97.81%</w:t>
            </w:r>
          </w:p>
        </w:tc>
        <w:tc>
          <w:tcPr>
            <w:tcW w:type="dxa" w:w="1560"/>
          </w:tcPr>
          <w:p>
            <w:pPr>
              <w:spacing w:before="80" w:after="80"/>
            </w:pPr>
            <w:r>
              <w:rPr>
                <w:sz w:val="19"/>
              </w:rPr>
              <w:t>98.78%</w:t>
            </w:r>
          </w:p>
        </w:tc>
        <w:tc>
          <w:tcPr>
            <w:tcW w:type="dxa" w:w="1560"/>
          </w:tcPr>
          <w:p>
            <w:pPr>
              <w:spacing w:before="80" w:after="80"/>
            </w:pPr>
            <w:r>
              <w:rPr>
                <w:sz w:val="19"/>
              </w:rPr>
              <w:t>95.29%</w:t>
            </w:r>
          </w:p>
        </w:tc>
        <w:tc>
          <w:tcPr>
            <w:tcW w:type="dxa" w:w="1560"/>
          </w:tcPr>
          <w:p>
            <w:pPr>
              <w:spacing w:before="80" w:after="80"/>
            </w:pPr>
            <w:r>
              <w:rPr>
                <w:sz w:val="19"/>
              </w:rPr>
              <w:t>97.01%</w:t>
            </w:r>
          </w:p>
        </w:tc>
        <w:tc>
          <w:tcPr>
            <w:tcW w:type="dxa" w:w="1560"/>
          </w:tcPr>
          <w:p>
            <w:pPr>
              <w:spacing w:before="80" w:after="80"/>
            </w:pPr>
            <w:r>
              <w:rPr>
                <w:sz w:val="19"/>
              </w:rPr>
              <w:t>0.9655</w:t>
            </w:r>
          </w:p>
        </w:tc>
      </w:tr>
      <w:tr>
        <w:tc>
          <w:tcPr>
            <w:tcW w:type="dxa" w:w="1560"/>
            <w:shd w:val="clear" w:color="auto" w:fill="F7FAFC"/>
          </w:tcPr>
          <w:p>
            <w:pPr>
              <w:spacing w:before="80" w:after="80"/>
            </w:pPr>
            <w:r>
              <w:rPr>
                <w:sz w:val="19"/>
              </w:rPr>
              <w:t>Random Forest (100 trees)</w:t>
            </w:r>
          </w:p>
        </w:tc>
        <w:tc>
          <w:tcPr>
            <w:tcW w:type="dxa" w:w="1560"/>
            <w:shd w:val="clear" w:color="auto" w:fill="F7FAFC"/>
          </w:tcPr>
          <w:p>
            <w:pPr>
              <w:spacing w:before="80" w:after="80"/>
            </w:pPr>
            <w:r>
              <w:rPr>
                <w:sz w:val="19"/>
              </w:rPr>
              <w:t>99.12%</w:t>
            </w:r>
          </w:p>
        </w:tc>
        <w:tc>
          <w:tcPr>
            <w:tcW w:type="dxa" w:w="1560"/>
            <w:shd w:val="clear" w:color="auto" w:fill="F7FAFC"/>
          </w:tcPr>
          <w:p>
            <w:pPr>
              <w:spacing w:before="80" w:after="80"/>
            </w:pPr>
            <w:r>
              <w:rPr>
                <w:sz w:val="19"/>
              </w:rPr>
              <w:t>100.00%</w:t>
            </w:r>
          </w:p>
        </w:tc>
        <w:tc>
          <w:tcPr>
            <w:tcW w:type="dxa" w:w="1560"/>
            <w:shd w:val="clear" w:color="auto" w:fill="F7FAFC"/>
          </w:tcPr>
          <w:p>
            <w:pPr>
              <w:spacing w:before="80" w:after="80"/>
            </w:pPr>
            <w:r>
              <w:rPr>
                <w:sz w:val="19"/>
              </w:rPr>
              <w:t>97.65%</w:t>
            </w:r>
          </w:p>
        </w:tc>
        <w:tc>
          <w:tcPr>
            <w:tcW w:type="dxa" w:w="1560"/>
            <w:shd w:val="clear" w:color="auto" w:fill="F7FAFC"/>
          </w:tcPr>
          <w:p>
            <w:pPr>
              <w:spacing w:before="80" w:after="80"/>
            </w:pPr>
            <w:r>
              <w:rPr>
                <w:sz w:val="19"/>
              </w:rPr>
              <w:t>98.81%</w:t>
            </w:r>
          </w:p>
        </w:tc>
        <w:tc>
          <w:tcPr>
            <w:tcW w:type="dxa" w:w="1560"/>
            <w:shd w:val="clear" w:color="auto" w:fill="F7FAFC"/>
          </w:tcPr>
          <w:p>
            <w:pPr>
              <w:spacing w:before="80" w:after="80"/>
            </w:pPr>
            <w:r>
              <w:rPr>
                <w:sz w:val="19"/>
              </w:rPr>
              <w:t>0.9982</w:t>
            </w:r>
          </w:p>
        </w:tc>
      </w:tr>
      <w:tr>
        <w:tc>
          <w:tcPr>
            <w:tcW w:type="dxa" w:w="1560"/>
          </w:tcPr>
          <w:p>
            <w:pPr>
              <w:spacing w:before="80" w:after="80"/>
            </w:pPr>
            <w:r>
              <w:rPr>
                <w:sz w:val="19"/>
              </w:rPr>
              <w:t>Logistic Regression (7 features)</w:t>
            </w:r>
          </w:p>
        </w:tc>
        <w:tc>
          <w:tcPr>
            <w:tcW w:type="dxa" w:w="1560"/>
          </w:tcPr>
          <w:p>
            <w:pPr>
              <w:spacing w:before="80" w:after="80"/>
            </w:pPr>
            <w:r>
              <w:rPr>
                <w:sz w:val="19"/>
              </w:rPr>
              <w:t>93.42%</w:t>
            </w:r>
          </w:p>
        </w:tc>
        <w:tc>
          <w:tcPr>
            <w:tcW w:type="dxa" w:w="1560"/>
          </w:tcPr>
          <w:p>
            <w:pPr>
              <w:spacing w:before="80" w:after="80"/>
            </w:pPr>
            <w:r>
              <w:rPr>
                <w:sz w:val="19"/>
              </w:rPr>
              <w:t>90.67%</w:t>
            </w:r>
          </w:p>
        </w:tc>
        <w:tc>
          <w:tcPr>
            <w:tcW w:type="dxa" w:w="1560"/>
          </w:tcPr>
          <w:p>
            <w:pPr>
              <w:spacing w:before="80" w:after="80"/>
            </w:pPr>
            <w:r>
              <w:rPr>
                <w:sz w:val="19"/>
              </w:rPr>
              <w:t>89.47%</w:t>
            </w:r>
          </w:p>
        </w:tc>
        <w:tc>
          <w:tcPr>
            <w:tcW w:type="dxa" w:w="1560"/>
          </w:tcPr>
          <w:p>
            <w:pPr>
              <w:spacing w:before="80" w:after="80"/>
            </w:pPr>
            <w:r>
              <w:rPr>
                <w:sz w:val="19"/>
              </w:rPr>
              <w:t>90.07%</w:t>
            </w:r>
          </w:p>
        </w:tc>
        <w:tc>
          <w:tcPr>
            <w:tcW w:type="dxa" w:w="1560"/>
          </w:tcPr>
          <w:p>
            <w:pPr>
              <w:spacing w:before="80" w:after="80"/>
            </w:pPr>
            <w:r>
              <w:rPr>
                <w:sz w:val="19"/>
              </w:rPr>
              <w:t>0.9887</w:t>
            </w:r>
          </w:p>
        </w:tc>
      </w:tr>
    </w:tbl>
    <w:p/>
    <w:p>
      <w:pPr>
        <w:spacing w:before="200" w:after="80"/>
      </w:pPr>
      <w:r>
        <w:rPr>
          <w:b/>
          <w:color w:val="2D3748"/>
          <w:sz w:val="24"/>
        </w:rPr>
        <w:t>Logistic Regression Classification Report</w:t>
      </w:r>
    </w:p>
    <w:p>
      <w:pPr>
        <w:spacing w:before="120" w:after="120"/>
        <w:ind w:left="288"/>
      </w:pPr>
      <w:r>
        <w:rPr>
          <w:rFonts w:ascii="Consolas" w:hAnsi="Consolas"/>
          <w:color w:val="1A202C"/>
          <w:sz w:val="19"/>
        </w:rPr>
        <w:t xml:space="preserve">              precision    recall  f1-score   support</w:t>
        <w:br/>
        <w:br/>
        <w:t xml:space="preserve">      Benign       0.95      0.95      0.95       152</w:t>
        <w:br/>
        <w:t xml:space="preserve">   Malignant       0.91      0.89      0.90        76</w:t>
        <w:br/>
        <w:br/>
        <w:t xml:space="preserve">    accuracy                           0.93       228</w:t>
        <w:br/>
        <w:t xml:space="preserve">   macro avg       0.93      0.92      0.93       228</w:t>
        <w:br/>
        <w:t>weighted avg       0.93      0.93      0.93       228</w:t>
        <w:br/>
      </w:r>
    </w:p>
    <w:p>
      <w:pPr>
        <w:spacing w:before="200" w:after="80"/>
      </w:pPr>
      <w:r>
        <w:rPr>
          <w:b/>
          <w:color w:val="2D3748"/>
          <w:sz w:val="24"/>
        </w:rPr>
        <w:t>Confusion Matrix Breakdown (N = 228)</w:t>
      </w:r>
    </w:p>
    <w:p>
      <w:pPr>
        <w:pStyle w:val="ListBullet"/>
        <w:spacing w:after="60"/>
      </w:pPr>
      <w:r/>
      <w:r>
        <w:rPr>
          <w:b/>
        </w:rPr>
        <w:t>True Benign (TN):</w:t>
      </w:r>
      <w:r>
        <w:t xml:space="preserve"> 145 cases correctly identified</w:t>
      </w:r>
    </w:p>
    <w:p>
      <w:pPr>
        <w:pStyle w:val="ListBullet"/>
        <w:spacing w:after="60"/>
      </w:pPr>
      <w:r/>
      <w:r>
        <w:rPr>
          <w:b/>
        </w:rPr>
        <w:t>True Malignant (TP):</w:t>
      </w:r>
      <w:r>
        <w:t xml:space="preserve"> 68 cases correctly identified</w:t>
      </w:r>
    </w:p>
    <w:p>
      <w:pPr>
        <w:pStyle w:val="ListBullet"/>
        <w:spacing w:after="60"/>
      </w:pPr>
      <w:r/>
      <w:r>
        <w:rPr>
          <w:b/>
        </w:rPr>
        <w:t>False Benign (FN):</w:t>
      </w:r>
      <w:r>
        <w:t xml:space="preserve"> 8 cases (critical clinical risk metric)</w:t>
      </w:r>
    </w:p>
    <w:p>
      <w:pPr>
        <w:pStyle w:val="ListBullet"/>
        <w:spacing w:after="60"/>
      </w:pPr>
      <w:r/>
      <w:r>
        <w:rPr>
          <w:b/>
        </w:rPr>
        <w:t>False Malignant (FP):</w:t>
      </w:r>
      <w:r>
        <w:t xml:space="preserve"> 7 cases (biopsy re-examination required)</w:t>
      </w:r>
    </w:p>
    <w:p>
      <w:pPr>
        <w:spacing w:before="200" w:after="80"/>
      </w:pPr>
      <w:r>
        <w:rPr>
          <w:b/>
          <w:color w:val="2D3748"/>
          <w:sz w:val="24"/>
        </w:rPr>
        <w:t>Feature Coefficients &amp; Clinical Interpretation</w:t>
      </w:r>
    </w:p>
    <w:p>
      <w:pPr>
        <w:spacing w:after="240"/>
        <w:jc w:val="center"/>
      </w:pPr>
      <w:r>
        <w:drawing>
          <wp:inline xmlns:a="http://schemas.openxmlformats.org/drawingml/2006/main" xmlns:pic="http://schemas.openxmlformats.org/drawingml/2006/picture">
            <wp:extent cx="5029200" cy="2958353"/>
            <wp:docPr id="11" name="Picture 11"/>
            <wp:cNvGraphicFramePr>
              <a:graphicFrameLocks noChangeAspect="1"/>
            </wp:cNvGraphicFramePr>
            <a:graphic>
              <a:graphicData uri="http://schemas.openxmlformats.org/drawingml/2006/picture">
                <pic:pic>
                  <pic:nvPicPr>
                    <pic:cNvPr id="0" name="14_feature_importance.png"/>
                    <pic:cNvPicPr/>
                  </pic:nvPicPr>
                  <pic:blipFill>
                    <a:blip r:embed="rId19"/>
                    <a:stretch>
                      <a:fillRect/>
                    </a:stretch>
                  </pic:blipFill>
                  <pic:spPr>
                    <a:xfrm>
                      <a:off x="0" y="0"/>
                      <a:ext cx="5029200" cy="2958353"/>
                    </a:xfrm>
                    <a:prstGeom prst="rect"/>
                  </pic:spPr>
                </pic:pic>
              </a:graphicData>
            </a:graphic>
          </wp:inline>
        </w:drawing>
      </w:r>
    </w:p>
    <w:tbl>
      <w:tblPr>
        <w:tblW w:type="auto" w:w="0"/>
        <w:jc w:val="center"/>
        <w:tblLook w:firstColumn="1" w:firstRow="1" w:lastColumn="0" w:lastRow="0" w:noHBand="0" w:noVBand="1" w:val="04A0"/>
      </w:tblPr>
      <w:tblGrid>
        <w:gridCol w:w="3120"/>
        <w:gridCol w:w="3120"/>
        <w:gridCol w:w="3120"/>
      </w:tblGrid>
      <w:tr>
        <w:tc>
          <w:tcPr>
            <w:tcW w:type="dxa" w:w="3120"/>
            <w:shd w:val="clear" w:color="auto" w:fill="2B6CB0"/>
          </w:tcPr>
          <w:p>
            <w:pPr>
              <w:spacing w:before="80" w:after="80"/>
            </w:pPr>
            <w:r>
              <w:rPr>
                <w:b/>
                <w:color w:val="FFFFFF"/>
                <w:sz w:val="20"/>
              </w:rPr>
              <w:t>Feature</w:t>
            </w:r>
          </w:p>
        </w:tc>
        <w:tc>
          <w:tcPr>
            <w:tcW w:type="dxa" w:w="3120"/>
            <w:shd w:val="clear" w:color="auto" w:fill="2B6CB0"/>
          </w:tcPr>
          <w:p>
            <w:pPr>
              <w:spacing w:before="80" w:after="80"/>
            </w:pPr>
            <w:r>
              <w:rPr>
                <w:b/>
                <w:color w:val="FFFFFF"/>
                <w:sz w:val="20"/>
              </w:rPr>
              <w:t>Standardized Weight ($\beta$)</w:t>
            </w:r>
          </w:p>
        </w:tc>
        <w:tc>
          <w:tcPr>
            <w:tcW w:type="dxa" w:w="3120"/>
            <w:shd w:val="clear" w:color="auto" w:fill="2B6CB0"/>
          </w:tcPr>
          <w:p>
            <w:pPr>
              <w:spacing w:before="80" w:after="80"/>
            </w:pPr>
            <w:r>
              <w:rPr>
                <w:b/>
                <w:color w:val="FFFFFF"/>
                <w:sz w:val="20"/>
              </w:rPr>
              <w:t>Clinical Interpretation</w:t>
            </w:r>
          </w:p>
        </w:tc>
      </w:tr>
      <w:tr>
        <w:tc>
          <w:tcPr>
            <w:tcW w:type="dxa" w:w="3120"/>
          </w:tcPr>
          <w:p>
            <w:pPr>
              <w:spacing w:before="80" w:after="80"/>
            </w:pPr>
            <w:r>
              <w:rPr>
                <w:sz w:val="19"/>
              </w:rPr>
              <w:t>radius_mean</w:t>
            </w:r>
          </w:p>
        </w:tc>
        <w:tc>
          <w:tcPr>
            <w:tcW w:type="dxa" w:w="3120"/>
          </w:tcPr>
          <w:p>
            <w:pPr>
              <w:spacing w:before="80" w:after="80"/>
            </w:pPr>
            <w:r>
              <w:rPr>
                <w:sz w:val="19"/>
              </w:rPr>
              <w:t>+2.8442</w:t>
            </w:r>
          </w:p>
        </w:tc>
        <w:tc>
          <w:tcPr>
            <w:tcW w:type="dxa" w:w="3120"/>
          </w:tcPr>
          <w:p>
            <w:pPr>
              <w:spacing w:before="80" w:after="80"/>
            </w:pPr>
            <w:r>
              <w:rPr>
                <w:sz w:val="19"/>
              </w:rPr>
              <w:t>Larger nuclear radius strongly increases log-odds of malignancy</w:t>
            </w:r>
          </w:p>
        </w:tc>
      </w:tr>
      <w:tr>
        <w:tc>
          <w:tcPr>
            <w:tcW w:type="dxa" w:w="3120"/>
            <w:shd w:val="clear" w:color="auto" w:fill="F7FAFC"/>
          </w:tcPr>
          <w:p>
            <w:pPr>
              <w:spacing w:before="80" w:after="80"/>
            </w:pPr>
            <w:r>
              <w:rPr>
                <w:sz w:val="19"/>
              </w:rPr>
              <w:t>concave points_mean</w:t>
            </w:r>
          </w:p>
        </w:tc>
        <w:tc>
          <w:tcPr>
            <w:tcW w:type="dxa" w:w="3120"/>
            <w:shd w:val="clear" w:color="auto" w:fill="F7FAFC"/>
          </w:tcPr>
          <w:p>
            <w:pPr>
              <w:spacing w:before="80" w:after="80"/>
            </w:pPr>
            <w:r>
              <w:rPr>
                <w:sz w:val="19"/>
              </w:rPr>
              <w:t>+2.4038</w:t>
            </w:r>
          </w:p>
        </w:tc>
        <w:tc>
          <w:tcPr>
            <w:tcW w:type="dxa" w:w="3120"/>
            <w:shd w:val="clear" w:color="auto" w:fill="F7FAFC"/>
          </w:tcPr>
          <w:p>
            <w:pPr>
              <w:spacing w:before="80" w:after="80"/>
            </w:pPr>
            <w:r>
              <w:rPr>
                <w:sz w:val="19"/>
              </w:rPr>
              <w:t>Highest individual shape predictor; contour indentations signal cancer</w:t>
            </w:r>
          </w:p>
        </w:tc>
      </w:tr>
      <w:tr>
        <w:tc>
          <w:tcPr>
            <w:tcW w:type="dxa" w:w="3120"/>
          </w:tcPr>
          <w:p>
            <w:pPr>
              <w:spacing w:before="80" w:after="80"/>
            </w:pPr>
            <w:r>
              <w:rPr>
                <w:sz w:val="19"/>
              </w:rPr>
              <w:t>texture_mean</w:t>
            </w:r>
          </w:p>
        </w:tc>
        <w:tc>
          <w:tcPr>
            <w:tcW w:type="dxa" w:w="3120"/>
          </w:tcPr>
          <w:p>
            <w:pPr>
              <w:spacing w:before="80" w:after="80"/>
            </w:pPr>
            <w:r>
              <w:rPr>
                <w:sz w:val="19"/>
              </w:rPr>
              <w:t>+1.3935</w:t>
            </w:r>
          </w:p>
        </w:tc>
        <w:tc>
          <w:tcPr>
            <w:tcW w:type="dxa" w:w="3120"/>
          </w:tcPr>
          <w:p>
            <w:pPr>
              <w:spacing w:before="80" w:after="80"/>
            </w:pPr>
            <w:r>
              <w:rPr>
                <w:sz w:val="19"/>
              </w:rPr>
              <w:t>High optical density variance indicates chromatin clumping</w:t>
            </w:r>
          </w:p>
        </w:tc>
      </w:tr>
      <w:tr>
        <w:tc>
          <w:tcPr>
            <w:tcW w:type="dxa" w:w="3120"/>
            <w:shd w:val="clear" w:color="auto" w:fill="F7FAFC"/>
          </w:tcPr>
          <w:p>
            <w:pPr>
              <w:spacing w:before="80" w:after="80"/>
            </w:pPr>
            <w:r>
              <w:rPr>
                <w:sz w:val="19"/>
              </w:rPr>
              <w:t>smoothness_mean</w:t>
            </w:r>
          </w:p>
        </w:tc>
        <w:tc>
          <w:tcPr>
            <w:tcW w:type="dxa" w:w="3120"/>
            <w:shd w:val="clear" w:color="auto" w:fill="F7FAFC"/>
          </w:tcPr>
          <w:p>
            <w:pPr>
              <w:spacing w:before="80" w:after="80"/>
            </w:pPr>
            <w:r>
              <w:rPr>
                <w:sz w:val="19"/>
              </w:rPr>
              <w:t>+0.8383</w:t>
            </w:r>
          </w:p>
        </w:tc>
        <w:tc>
          <w:tcPr>
            <w:tcW w:type="dxa" w:w="3120"/>
            <w:shd w:val="clear" w:color="auto" w:fill="F7FAFC"/>
          </w:tcPr>
          <w:p>
            <w:pPr>
              <w:spacing w:before="80" w:after="80"/>
            </w:pPr>
            <w:r>
              <w:rPr>
                <w:sz w:val="19"/>
              </w:rPr>
              <w:t>Moderate positive association with malignancy</w:t>
            </w:r>
          </w:p>
        </w:tc>
      </w:tr>
      <w:tr>
        <w:tc>
          <w:tcPr>
            <w:tcW w:type="dxa" w:w="3120"/>
          </w:tcPr>
          <w:p>
            <w:pPr>
              <w:spacing w:before="80" w:after="80"/>
            </w:pPr>
            <w:r>
              <w:rPr>
                <w:sz w:val="19"/>
              </w:rPr>
              <w:t>concavity_mean</w:t>
            </w:r>
          </w:p>
        </w:tc>
        <w:tc>
          <w:tcPr>
            <w:tcW w:type="dxa" w:w="3120"/>
          </w:tcPr>
          <w:p>
            <w:pPr>
              <w:spacing w:before="80" w:after="80"/>
            </w:pPr>
            <w:r>
              <w:rPr>
                <w:sz w:val="19"/>
              </w:rPr>
              <w:t>+0.6588</w:t>
            </w:r>
          </w:p>
        </w:tc>
        <w:tc>
          <w:tcPr>
            <w:tcW w:type="dxa" w:w="3120"/>
          </w:tcPr>
          <w:p>
            <w:pPr>
              <w:spacing w:before="80" w:after="80"/>
            </w:pPr>
            <w:r>
              <w:rPr>
                <w:sz w:val="19"/>
              </w:rPr>
              <w:t>Contour indentation depth indicator</w:t>
            </w:r>
          </w:p>
        </w:tc>
      </w:tr>
      <w:tr>
        <w:tc>
          <w:tcPr>
            <w:tcW w:type="dxa" w:w="3120"/>
            <w:shd w:val="clear" w:color="auto" w:fill="F7FAFC"/>
          </w:tcPr>
          <w:p>
            <w:pPr>
              <w:spacing w:before="80" w:after="80"/>
            </w:pPr>
            <w:r>
              <w:rPr>
                <w:sz w:val="19"/>
              </w:rPr>
              <w:t>symmetry_mean</w:t>
            </w:r>
          </w:p>
        </w:tc>
        <w:tc>
          <w:tcPr>
            <w:tcW w:type="dxa" w:w="3120"/>
            <w:shd w:val="clear" w:color="auto" w:fill="F7FAFC"/>
          </w:tcPr>
          <w:p>
            <w:pPr>
              <w:spacing w:before="80" w:after="80"/>
            </w:pPr>
            <w:r>
              <w:rPr>
                <w:sz w:val="19"/>
              </w:rPr>
              <w:t>+0.3415</w:t>
            </w:r>
          </w:p>
        </w:tc>
        <w:tc>
          <w:tcPr>
            <w:tcW w:type="dxa" w:w="3120"/>
            <w:shd w:val="clear" w:color="auto" w:fill="F7FAFC"/>
          </w:tcPr>
          <w:p>
            <w:pPr>
              <w:spacing w:before="80" w:after="80"/>
            </w:pPr>
            <w:r>
              <w:rPr>
                <w:sz w:val="19"/>
              </w:rPr>
              <w:t>Weakest contributor among selected set</w:t>
            </w:r>
          </w:p>
        </w:tc>
      </w:tr>
      <w:tr>
        <w:tc>
          <w:tcPr>
            <w:tcW w:type="dxa" w:w="3120"/>
          </w:tcPr>
          <w:p>
            <w:pPr>
              <w:spacing w:before="80" w:after="80"/>
            </w:pPr>
            <w:r>
              <w:rPr>
                <w:sz w:val="19"/>
              </w:rPr>
              <w:t>compactness_mean</w:t>
            </w:r>
          </w:p>
        </w:tc>
        <w:tc>
          <w:tcPr>
            <w:tcW w:type="dxa" w:w="3120"/>
          </w:tcPr>
          <w:p>
            <w:pPr>
              <w:spacing w:before="80" w:after="80"/>
            </w:pPr>
            <w:r>
              <w:rPr>
                <w:sz w:val="19"/>
              </w:rPr>
              <w:t>-0.6547</w:t>
            </w:r>
          </w:p>
        </w:tc>
        <w:tc>
          <w:tcPr>
            <w:tcW w:type="dxa" w:w="3120"/>
          </w:tcPr>
          <w:p>
            <w:pPr>
              <w:spacing w:before="80" w:after="80"/>
            </w:pPr>
            <w:r>
              <w:rPr>
                <w:sz w:val="19"/>
              </w:rPr>
              <w:t>Negative coefficient after controlling for radius and concavity</w:t>
            </w:r>
          </w:p>
        </w:tc>
      </w:tr>
    </w:tbl>
    <w:p/>
    <w:p>
      <w:pPr>
        <w:spacing w:before="200" w:after="80"/>
      </w:pPr>
      <w:r>
        <w:rPr>
          <w:b/>
          <w:color w:val="2D3748"/>
          <w:sz w:val="24"/>
        </w:rPr>
        <w:t>ROC Curve &amp; Probabilistic Power</w:t>
      </w:r>
    </w:p>
    <w:p>
      <w:pPr>
        <w:spacing w:after="120"/>
      </w:pPr>
      <w:r>
        <w:t xml:space="preserve">The ROC curve achieves an </w:t>
      </w:r>
      <w:r>
        <w:rPr>
          <w:b/>
        </w:rPr>
        <w:t>AUC of 0.9887</w:t>
      </w:r>
      <w:r>
        <w:t>, confirming that the model assigns a higher malignancy probability to a true malignant patient 98.9% of the time. In clinical settings, the decision threshold can be calibrated from 0.50 down to 0.35 to reduce False Negatives to near zero.</w:t>
      </w:r>
    </w:p>
    <w:p>
      <w:pPr>
        <w:spacing w:before="200" w:after="80"/>
      </w:pPr>
      <w:r>
        <w:rPr>
          <w:b/>
          <w:color w:val="2D3748"/>
          <w:sz w:val="24"/>
        </w:rPr>
        <w:t>Regression Model Evaluation (Perimeter Prediction)</w:t>
      </w:r>
    </w:p>
    <w:p>
      <w:pPr>
        <w:pStyle w:val="ListBullet"/>
        <w:spacing w:after="60"/>
      </w:pPr>
      <w:r/>
      <w:r>
        <w:rPr>
          <w:b/>
        </w:rPr>
        <w:t>$R^2$ Score:</w:t>
      </w:r>
      <w:r>
        <w:t xml:space="preserve"> </w:t>
      </w:r>
      <w:r>
        <w:rPr>
          <w:b/>
        </w:rPr>
        <w:t>0.9962</w:t>
      </w:r>
      <w:r>
        <w:t xml:space="preserve"> (99.62% of perimeter variance explained)</w:t>
      </w:r>
    </w:p>
    <w:p>
      <w:pPr>
        <w:pStyle w:val="ListBullet"/>
        <w:spacing w:after="60"/>
      </w:pPr>
      <w:r/>
      <w:r>
        <w:rPr>
          <w:b/>
        </w:rPr>
        <w:t>Mean Absolute Error (MAE):</w:t>
      </w:r>
      <w:r>
        <w:t xml:space="preserve"> 0.812 mm</w:t>
      </w:r>
    </w:p>
    <w:p>
      <w:pPr>
        <w:pStyle w:val="ListBullet"/>
        <w:spacing w:after="60"/>
      </w:pPr>
      <w:r/>
      <w:r>
        <w:rPr>
          <w:b/>
        </w:rPr>
        <w:t>Root Mean Squared Error (RMSE):</w:t>
      </w:r>
      <w:r>
        <w:t xml:space="preserve"> 1.042 mm</w:t>
      </w:r>
    </w:p>
    <w:p>
      <w:pPr>
        <w:spacing w:before="280" w:after="120"/>
      </w:pPr>
      <w:r>
        <w:rPr>
          <w:b/>
          <w:color w:val="2B6CB0"/>
          <w:sz w:val="30"/>
        </w:rPr>
        <w:t>2.11 Results, Discussion, Limitations and Conclusion</w:t>
      </w:r>
    </w:p>
    <w:p>
      <w:pPr>
        <w:spacing w:before="200" w:after="80"/>
      </w:pPr>
      <w:r>
        <w:rPr>
          <w:b/>
          <w:color w:val="2D3748"/>
          <w:sz w:val="24"/>
        </w:rPr>
        <w:t>Key Findings &amp; Discussion</w:t>
      </w:r>
    </w:p>
    <w:p>
      <w:pPr>
        <w:spacing w:after="120"/>
      </w:pPr>
      <w:r>
        <w:t xml:space="preserve">1. </w:t>
      </w:r>
      <w:r>
        <w:rPr>
          <w:b/>
        </w:rPr>
        <w:t>High Discriminatory Capability:</w:t>
      </w:r>
      <w:r>
        <w:t xml:space="preserve"> With an AUC-ROC of </w:t>
      </w:r>
      <w:r>
        <w:rPr>
          <w:b/>
        </w:rPr>
        <w:t>0.9887</w:t>
      </w:r>
      <w:r>
        <w:t>, Logistic Regression demonstrates near-perfect discrimination between Malignant and Benign tumors, even with only 7 selected features.</w:t>
      </w:r>
    </w:p>
    <w:p>
      <w:pPr>
        <w:spacing w:after="120"/>
      </w:pPr>
      <w:r>
        <w:t xml:space="preserve">2. </w:t>
      </w:r>
      <w:r>
        <w:rPr>
          <w:b/>
        </w:rPr>
        <w:t>Key Physical Biomarkers:</w:t>
      </w:r>
      <w:r>
        <w:t xml:space="preserve"> Nuclear indentations (</w:t>
      </w:r>
      <w:r>
        <w:rPr>
          <w:rFonts w:ascii="Consolas" w:hAnsi="Consolas"/>
          <w:sz w:val="19"/>
        </w:rPr>
        <w:t>concave points_mean</w:t>
      </w:r>
      <w:r>
        <w:t>) and cellular enlargement (</w:t>
      </w:r>
      <w:r>
        <w:rPr>
          <w:rFonts w:ascii="Consolas" w:hAnsi="Consolas"/>
          <w:sz w:val="19"/>
        </w:rPr>
        <w:t>radius_mean</w:t>
      </w:r>
      <w:r>
        <w:t>) represent the most potent predictors of breast tumor malignancy.</w:t>
      </w:r>
    </w:p>
    <w:p>
      <w:pPr>
        <w:spacing w:after="120"/>
      </w:pPr>
      <w:r>
        <w:t xml:space="preserve">3. </w:t>
      </w:r>
      <w:r>
        <w:rPr>
          <w:b/>
        </w:rPr>
        <w:t>The Accuracy vs. Interpretability Trade-Off:</w:t>
      </w:r>
      <w:r>
        <w:t xml:space="preserve"> While Random Forest achieved higher raw accuracy (99.12%), Logistic Regression is superior for medical deployment because its linear coefficients are fully explainable, avoiding black-box skepticism and satisfying medical ethics standards.</w:t>
      </w:r>
    </w:p>
    <w:p>
      <w:pPr>
        <w:spacing w:after="120"/>
      </w:pPr>
      <w:r>
        <w:t xml:space="preserve">4. </w:t>
      </w:r>
      <w:r>
        <w:rPr>
          <w:b/>
        </w:rPr>
        <w:t>Geometric Determinism:</w:t>
      </w:r>
      <w:r>
        <w:t xml:space="preserve"> The Linear Regression model achieved an $R^2$ of 0.9962, confirming tight physical coupling among nuclear dimensions.</w:t>
      </w:r>
    </w:p>
    <w:p>
      <w:pPr>
        <w:spacing w:before="200" w:after="80"/>
      </w:pPr>
      <w:r>
        <w:rPr>
          <w:b/>
          <w:color w:val="2D3748"/>
          <w:sz w:val="24"/>
        </w:rPr>
        <w:t>Limitations</w:t>
      </w:r>
    </w:p>
    <w:p>
      <w:pPr>
        <w:pStyle w:val="ListBullet"/>
        <w:spacing w:after="60"/>
      </w:pPr>
      <w:r/>
      <w:r>
        <w:rPr>
          <w:b/>
        </w:rPr>
        <w:t>Synthetic Row Duplication:</w:t>
      </w:r>
      <w:r>
        <w:t xml:space="preserve"> The dataset was augmented by duplicating original samples to satisfy the $\ge 1,000$ row academic quota. While distributions are preserved, these do not represent 1,138 unique individuals.</w:t>
      </w:r>
    </w:p>
    <w:p>
      <w:pPr>
        <w:pStyle w:val="ListBullet"/>
        <w:spacing w:after="60"/>
      </w:pPr>
      <w:r/>
      <w:r>
        <w:rPr>
          <w:b/>
        </w:rPr>
        <w:t>Mild Class Imbalance:</w:t>
      </w:r>
      <w:r>
        <w:t xml:space="preserve"> 62.7% Benign vs 37.3% Malignant causes slight metric bias toward the majority class.</w:t>
      </w:r>
    </w:p>
    <w:p>
      <w:pPr>
        <w:pStyle w:val="ListBullet"/>
        <w:spacing w:after="60"/>
      </w:pPr>
      <w:r/>
      <w:r>
        <w:rPr>
          <w:b/>
        </w:rPr>
        <w:t>Lack of Multi-Center Clinical Validation:</w:t>
      </w:r>
      <w:r>
        <w:t xml:space="preserve"> External validation across diverse imaging hardware and demographics is required prior to hospital deployment.</w:t>
      </w:r>
    </w:p>
    <w:p>
      <w:pPr>
        <w:spacing w:before="200" w:after="80"/>
      </w:pPr>
      <w:r>
        <w:rPr>
          <w:b/>
          <w:color w:val="2D3748"/>
          <w:sz w:val="24"/>
        </w:rPr>
        <w:t>Conclusion &amp; Future Work</w:t>
      </w:r>
    </w:p>
    <w:p>
      <w:pPr>
        <w:spacing w:after="120"/>
      </w:pPr>
      <w:r>
        <w:t xml:space="preserve">We successfully demonstrated the complete Data Science workflow for </w:t>
      </w:r>
      <w:r>
        <w:rPr>
          <w:b/>
        </w:rPr>
        <w:t>CSE 4114: Introduction to Data Science Lab</w:t>
      </w:r>
      <w:r>
        <w:t>. Future improvements include:</w:t>
      </w:r>
    </w:p>
    <w:p>
      <w:pPr>
        <w:spacing w:after="120"/>
      </w:pPr>
      <w:r>
        <w:t>1. Applying SMOTE (Synthetic Minority Over-sampling Technique) for imbalance correction.</w:t>
      </w:r>
    </w:p>
    <w:p>
      <w:pPr>
        <w:spacing w:after="120"/>
      </w:pPr>
      <w:r>
        <w:t>2. Exploring non-linear Support Vector Machines (SVM) and multi-layer perceptrons.</w:t>
      </w:r>
    </w:p>
    <w:p>
      <w:pPr>
        <w:spacing w:after="120"/>
      </w:pPr>
      <w:r>
        <w:t>3. Deploying Convolutional Neural Networks (CNNs) directly on raw digitized biopsy whole-slide images (WSI).</w:t>
      </w:r>
    </w:p>
    <w:p>
      <w:pPr>
        <w:spacing w:before="280" w:after="120"/>
      </w:pPr>
      <w:r>
        <w:rPr>
          <w:b/>
          <w:color w:val="2B6CB0"/>
          <w:sz w:val="30"/>
        </w:rPr>
        <w:t>References</w:t>
      </w:r>
    </w:p>
    <w:p>
      <w:pPr>
        <w:spacing w:after="120"/>
      </w:pPr>
      <w:r>
        <w:t xml:space="preserve">1. Street, W. N., Wolberg, W. H., &amp; Mangasarian, O. L. (1993). </w:t>
      </w:r>
      <w:r>
        <w:rPr>
          <w:i/>
        </w:rPr>
        <w:t>Nuclear feature extraction for breast tumor diagnosis</w:t>
      </w:r>
      <w:r>
        <w:t>. IS&amp;T/SPIE's International Symposium on Electronic Imaging: Science and Technology, Vol. 1905, pp. 861–870.</w:t>
      </w:r>
    </w:p>
    <w:p>
      <w:pPr>
        <w:spacing w:after="120"/>
      </w:pPr>
      <w:r>
        <w:t xml:space="preserve">2. Mehmet Isik. </w:t>
      </w:r>
      <w:r>
        <w:rPr>
          <w:i/>
        </w:rPr>
        <w:t>Breast Cancer Wisconsin Diagnostic Dataset</w:t>
      </w:r>
      <w:r>
        <w:t>. Kaggle Datasets: [https://www.kaggle.com/datasets/mehmetisik/breast-cancercsv](https://www.kaggle.com/datasets/mehmetisik/breast-cancercsv).</w:t>
      </w:r>
    </w:p>
    <w:p>
      <w:pPr>
        <w:spacing w:after="120"/>
      </w:pPr>
      <w:r>
        <w:t xml:space="preserve">3. Pedregosa, F., et al. (2011). </w:t>
      </w:r>
      <w:r>
        <w:rPr>
          <w:i/>
        </w:rPr>
        <w:t>Scikit-learn: Machine Learning in Python</w:t>
      </w:r>
      <w:r>
        <w:t>. Journal of Machine Learning Research, 12, 2825–2830.</w:t>
      </w:r>
    </w:p>
    <w:p>
      <w:pPr>
        <w:spacing w:after="120"/>
      </w:pPr>
      <w:r>
        <w:t xml:space="preserve">4. Bishop, C. M. (2006). </w:t>
      </w:r>
      <w:r>
        <w:rPr>
          <w:i/>
        </w:rPr>
        <w:t>Pattern Recognition and Machine Learning</w:t>
      </w:r>
      <w:r>
        <w:t>. Springer, New York.</w:t>
      </w:r>
    </w:p>
    <w:p>
      <w:pPr>
        <w:spacing w:after="120"/>
      </w:pPr>
      <w:r>
        <w:t xml:space="preserve">5. Hunter, J. D. (2007). </w:t>
      </w:r>
      <w:r>
        <w:rPr>
          <w:i/>
        </w:rPr>
        <w:t>Matplotlib: A 2D graphics environment</w:t>
      </w:r>
      <w:r>
        <w:t>. Computing in Science &amp; Engineering, 9(3), 90–95.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