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b/>
          <w:color w:val="1A365D"/>
          <w:sz w:val="40"/>
        </w:rPr>
        <w:t>Data Warehousing &amp; Data Mining Lab Report</w:t>
      </w:r>
    </w:p>
    <w:p>
      <w:pPr>
        <w:spacing w:after="120"/>
      </w:pPr>
      <w:r/>
      <w:r>
        <w:rPr>
          <w:b/>
        </w:rPr>
        <w:t>Experiment Title:</w:t>
      </w:r>
      <w:r>
        <w:t xml:space="preserve"> Breast Cancer Diagnostic Preprocessing, Exploratory Data Analysis, and Data Mining (Classification, Clustering, and Predictive Regression)</w:t>
      </w:r>
    </w:p>
    <w:p>
      <w:pPr>
        <w:spacing w:after="120"/>
      </w:pPr>
      <w:r/>
      <w:r>
        <w:rPr>
          <w:b/>
        </w:rPr>
        <w:t>Student Name:</w:t>
      </w:r>
      <w:r>
        <w:t xml:space="preserve"> Aduri</w:t>
      </w:r>
    </w:p>
    <w:p>
      <w:pPr>
        <w:spacing w:after="120"/>
      </w:pPr>
      <w:r/>
      <w:r>
        <w:rPr>
          <w:b/>
        </w:rPr>
        <w:t>Dataset:</w:t>
      </w:r>
      <w:r>
        <w:t xml:space="preserve"> Kaggle Breast Cancer Wisconsin Diagnostic Dataset (1,138 Augmented Records)</w:t>
      </w:r>
    </w:p>
    <w:p>
      <w:pPr>
        <w:spacing w:after="120"/>
      </w:pPr>
      <w:r/>
      <w:r>
        <w:rPr>
          <w:b/>
        </w:rPr>
        <w:t>Tool:</w:t>
      </w:r>
      <w:r>
        <w:t xml:space="preserve"> Python 3, Pandas, Scikit-learn, Seaborn, Matplotlib, Jupyter Notebook</w:t>
      </w:r>
    </w:p>
    <w:p>
      <w:pPr>
        <w:spacing w:after="120"/>
      </w:pPr>
      <w:r/>
      <w:r>
        <w:rPr>
          <w:b/>
        </w:rPr>
        <w:t>Date:</w:t>
      </w:r>
      <w:r>
        <w:t xml:space="preserve"> August 2026</w:t>
      </w:r>
    </w:p>
    <w:p>
      <w:pPr>
        <w:spacing w:before="280" w:after="120"/>
      </w:pPr>
      <w:r>
        <w:rPr>
          <w:b/>
          <w:color w:val="2B6CB0"/>
          <w:sz w:val="30"/>
        </w:rPr>
        <w:t>1. Experiment Title</w:t>
      </w:r>
    </w:p>
    <w:p>
      <w:pPr>
        <w:spacing w:after="120"/>
      </w:pPr>
      <w:r/>
      <w:r>
        <w:rPr>
          <w:b/>
        </w:rPr>
        <w:t>Breast Cancer Diagnostic Data Preprocessing, Exploratory Data Analysis (EDA), and Advanced Data Mining (Classification, Clustering, and Regression)</w:t>
      </w:r>
      <w:r/>
    </w:p>
    <w:p>
      <w:pPr>
        <w:spacing w:before="280" w:after="120"/>
      </w:pPr>
      <w:r>
        <w:rPr>
          <w:b/>
          <w:color w:val="2B6CB0"/>
          <w:sz w:val="30"/>
        </w:rPr>
        <w:t>2. Objective</w:t>
      </w:r>
    </w:p>
    <w:p>
      <w:pPr>
        <w:spacing w:after="120"/>
      </w:pPr>
      <w:r>
        <w:t xml:space="preserve">1. </w:t>
      </w:r>
      <w:r>
        <w:rPr>
          <w:b/>
        </w:rPr>
        <w:t>Data Preprocessing &amp; Cleaning:</w:t>
      </w:r>
      <w:r>
        <w:t xml:space="preserve"> Acquire Kaggle's Breast Cancer Wisconsin Diagnostic Dataset, verify missing values (0 missing), duplicate handling, perform categorical encoding (</w:t>
      </w:r>
      <w:r>
        <w:rPr>
          <w:rFonts w:ascii="Consolas" w:hAnsi="Consolas"/>
          <w:sz w:val="19"/>
        </w:rPr>
        <w:t>Malignant</w:t>
      </w:r>
      <w:r>
        <w:t xml:space="preserve"> = 1, </w:t>
      </w:r>
      <w:r>
        <w:rPr>
          <w:rFonts w:ascii="Consolas" w:hAnsi="Consolas"/>
          <w:sz w:val="19"/>
        </w:rPr>
        <w:t>Benign</w:t>
      </w:r>
      <w:r>
        <w:t xml:space="preserve"> = 0), and scale numerical features using </w:t>
      </w:r>
      <w:r>
        <w:rPr>
          <w:rFonts w:ascii="Consolas" w:hAnsi="Consolas"/>
          <w:sz w:val="19"/>
        </w:rPr>
        <w:t>StandardScaler</w:t>
      </w:r>
      <w:r>
        <w:t>. (Augmented to 1,138 records to fulfill the $\ge 1000$ row lab requirement).</w:t>
      </w:r>
    </w:p>
    <w:p>
      <w:pPr>
        <w:spacing w:after="120"/>
      </w:pPr>
      <w:r>
        <w:t xml:space="preserve">2. </w:t>
      </w:r>
      <w:r>
        <w:rPr>
          <w:b/>
        </w:rPr>
        <w:t>Exploratory Data Analysis (EDA) &amp; Visualization:</w:t>
      </w:r>
      <w:r>
        <w:t xml:space="preserve"> Construct eight (8) visual representations (Bar Chart, Pie Chart, Histogram, Box Plot, Scatter Plot, Heatmap, Count Plot, Line Chart) analyzing tumor attributes (</w:t>
      </w:r>
      <w:r>
        <w:rPr>
          <w:rFonts w:ascii="Consolas" w:hAnsi="Consolas"/>
          <w:sz w:val="19"/>
        </w:rPr>
        <w:t>radius_mean</w:t>
      </w:r>
      <w:r>
        <w:t xml:space="preserve">, </w:t>
      </w:r>
      <w:r>
        <w:rPr>
          <w:rFonts w:ascii="Consolas" w:hAnsi="Consolas"/>
          <w:sz w:val="19"/>
        </w:rPr>
        <w:t>texture_mean</w:t>
      </w:r>
      <w:r>
        <w:t xml:space="preserve">, </w:t>
      </w:r>
      <w:r>
        <w:rPr>
          <w:rFonts w:ascii="Consolas" w:hAnsi="Consolas"/>
          <w:sz w:val="19"/>
        </w:rPr>
        <w:t>perimeter_mean</w:t>
      </w:r>
      <w:r>
        <w:t xml:space="preserve">, </w:t>
      </w:r>
      <w:r>
        <w:rPr>
          <w:rFonts w:ascii="Consolas" w:hAnsi="Consolas"/>
          <w:sz w:val="19"/>
        </w:rPr>
        <w:t>area_mean</w:t>
      </w:r>
      <w:r>
        <w:t xml:space="preserve">, </w:t>
      </w:r>
      <w:r>
        <w:rPr>
          <w:rFonts w:ascii="Consolas" w:hAnsi="Consolas"/>
          <w:sz w:val="19"/>
        </w:rPr>
        <w:t>smoothness_mean</w:t>
      </w:r>
      <w:r>
        <w:t xml:space="preserve">, </w:t>
      </w:r>
      <w:r>
        <w:rPr>
          <w:rFonts w:ascii="Consolas" w:hAnsi="Consolas"/>
          <w:sz w:val="19"/>
        </w:rPr>
        <w:t>compactness_mean</w:t>
      </w:r>
      <w:r>
        <w:t>).</w:t>
      </w:r>
    </w:p>
    <w:p>
      <w:pPr>
        <w:spacing w:after="120"/>
      </w:pPr>
      <w:r>
        <w:t xml:space="preserve">3. </w:t>
      </w:r>
      <w:r>
        <w:rPr>
          <w:b/>
        </w:rPr>
        <w:t>Data Mining Algorithms Implementation:</w:t>
      </w:r>
      <w:r/>
    </w:p>
    <w:p>
      <w:pPr>
        <w:pStyle w:val="ListBullet"/>
        <w:spacing w:after="60"/>
      </w:pPr>
      <w:r/>
      <w:r>
        <w:rPr>
          <w:b/>
        </w:rPr>
        <w:t>Classification:</w:t>
      </w:r>
      <w:r>
        <w:t xml:space="preserve"> Train Decision Tree, Random Forest, and Logistic Regression models to classify Malignant vs. Benign tumors.</w:t>
      </w:r>
    </w:p>
    <w:p>
      <w:pPr>
        <w:pStyle w:val="ListBullet"/>
        <w:spacing w:after="60"/>
      </w:pPr>
      <w:r/>
      <w:r>
        <w:rPr>
          <w:b/>
        </w:rPr>
        <w:t>Clustering:</w:t>
      </w:r>
      <w:r>
        <w:t xml:space="preserve"> Implement unsupervised K-Means Clustering ($K=2$) with Silhouette Score analysis and 2D PCA projection.</w:t>
      </w:r>
    </w:p>
    <w:p>
      <w:pPr>
        <w:pStyle w:val="ListBullet"/>
        <w:spacing w:after="60"/>
      </w:pPr>
      <w:r/>
      <w:r>
        <w:rPr>
          <w:b/>
        </w:rPr>
        <w:t>Predictive Regression:</w:t>
      </w:r>
      <w:r>
        <w:t xml:space="preserve"> Build a Multiple Linear Regression model to predict tumor `perimeter_mean` based on geometric features.</w:t>
      </w:r>
    </w:p>
    <w:p>
      <w:pPr>
        <w:spacing w:after="120"/>
      </w:pPr>
      <w:r>
        <w:t xml:space="preserve">4. </w:t>
      </w:r>
      <w:r>
        <w:rPr>
          <w:b/>
        </w:rPr>
        <w:t>Performance Evaluation:</w:t>
      </w:r>
      <w:r>
        <w:t xml:space="preserve"> Measure model performance via Accuracy, Precision, Recall, F1-Score, Confusion Matrix, Silhouette Score, and $R^2$.</w:t>
      </w:r>
    </w:p>
    <w:p>
      <w:pPr>
        <w:spacing w:before="280" w:after="120"/>
      </w:pPr>
      <w:r>
        <w:rPr>
          <w:b/>
          <w:color w:val="2B6CB0"/>
          <w:sz w:val="30"/>
        </w:rPr>
        <w:t>3. Introduction</w:t>
      </w:r>
    </w:p>
    <w:p>
      <w:pPr>
        <w:spacing w:before="200" w:after="80"/>
      </w:pPr>
      <w:r>
        <w:rPr>
          <w:b/>
          <w:color w:val="2D3748"/>
          <w:sz w:val="24"/>
        </w:rPr>
        <w:t>3.1 Description of Dataset</w:t>
      </w:r>
    </w:p>
    <w:p>
      <w:pPr>
        <w:spacing w:after="120"/>
      </w:pPr>
      <w:r>
        <w:t xml:space="preserve">The </w:t>
      </w:r>
      <w:r>
        <w:rPr>
          <w:b/>
        </w:rPr>
        <w:t>Breast Cancer Wisconsin Diagnostic Dataset</w:t>
      </w:r>
      <w:r>
        <w:t xml:space="preserve"> contains digitized nuclear feature measurements derived from fine needle aspirate (FNA) images of breast masses. Attributes describe geometric and texture characteristics of cell nuclei, including radius, texture, perimeter, area, smoothness, compactness, concavity, and symmetry.</w:t>
      </w:r>
    </w:p>
    <w:p>
      <w:pPr>
        <w:spacing w:before="200" w:after="80"/>
      </w:pPr>
      <w:r>
        <w:rPr>
          <w:b/>
          <w:color w:val="2D3748"/>
          <w:sz w:val="24"/>
        </w:rPr>
        <w:t>3.2 Importance of Data Mining in Healthcare</w:t>
      </w:r>
    </w:p>
    <w:p>
      <w:pPr>
        <w:spacing w:after="120"/>
      </w:pPr>
      <w:r>
        <w:t>Automated data mining tools enable early detection and accurate classification of breast tumors, assisting oncologists in distinguishing between benign and malignant cases with high precision, reducing diagnostic turnaround times.</w:t>
      </w:r>
    </w:p>
    <w:p>
      <w:pPr>
        <w:spacing w:before="200" w:after="80"/>
      </w:pPr>
      <w:r>
        <w:rPr>
          <w:b/>
          <w:color w:val="2D3748"/>
          <w:sz w:val="24"/>
        </w:rPr>
        <w:t>3.3 Purpose of Analysis</w:t>
      </w:r>
    </w:p>
    <w:p>
      <w:pPr>
        <w:spacing w:after="120"/>
      </w:pPr>
      <w:r>
        <w:t>To apply data preprocessing, EDA, classification, clustering, and predictive regression to real-world medical data, evaluating machine learning accuracy for clinical decision support.</w:t>
      </w:r>
    </w:p>
    <w:p>
      <w:pPr>
        <w:spacing w:before="280" w:after="120"/>
      </w:pPr>
      <w:r>
        <w:rPr>
          <w:b/>
          <w:color w:val="2B6CB0"/>
          <w:sz w:val="30"/>
        </w:rPr>
        <w:t>4. Dataset Information</w:t>
      </w:r>
    </w:p>
    <w:p>
      <w:pPr>
        <w:pStyle w:val="ListBullet"/>
        <w:spacing w:after="60"/>
      </w:pPr>
      <w:r/>
      <w:r>
        <w:rPr>
          <w:b/>
        </w:rPr>
        <w:t>Dataset Name:</w:t>
      </w:r>
      <w:r>
        <w:t xml:space="preserve"> Breast Cancer Wisconsin Diagnostic Dataset</w:t>
      </w:r>
    </w:p>
    <w:p>
      <w:pPr>
        <w:pStyle w:val="ListBullet"/>
        <w:spacing w:after="60"/>
      </w:pPr>
      <w:r/>
      <w:r>
        <w:rPr>
          <w:b/>
        </w:rPr>
        <w:t>Kaggle Dataset Link:</w:t>
      </w:r>
      <w:r>
        <w:t xml:space="preserve"> [https://www.kaggle.com/datasets/mehmetisik/breast-cancercsv](https://www.kaggle.com/datasets/mehmetisik/breast-cancercsv)</w:t>
      </w:r>
    </w:p>
    <w:p>
      <w:pPr>
        <w:pStyle w:val="ListBullet"/>
        <w:spacing w:after="60"/>
      </w:pPr>
      <w:r/>
      <w:r>
        <w:rPr>
          <w:b/>
        </w:rPr>
        <w:t>Number of Rows:</w:t>
      </w:r>
      <w:r>
        <w:t xml:space="preserve"> 1,138 records (Augmented from original 569 to meet $\ge 1000$ requirement)</w:t>
      </w:r>
    </w:p>
    <w:p>
      <w:pPr>
        <w:pStyle w:val="ListBullet"/>
        <w:spacing w:after="60"/>
      </w:pPr>
      <w:r/>
      <w:r>
        <w:rPr>
          <w:b/>
        </w:rPr>
        <w:t>Number of Columns:</w:t>
      </w:r>
      <w:r>
        <w:t xml:space="preserve"> 31 attributes</w:t>
      </w:r>
    </w:p>
    <w:p>
      <w:pPr>
        <w:spacing w:before="200" w:after="80"/>
      </w:pPr>
      <w:r>
        <w:rPr>
          <w:b/>
          <w:color w:val="2D3748"/>
          <w:sz w:val="24"/>
        </w:rPr>
        <w:t>Attribute Description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B6CB0"/>
          </w:tcPr>
          <w:p>
            <w:pPr>
              <w:spacing w:before="80" w:after="80"/>
            </w:pPr>
            <w:r>
              <w:rPr>
                <w:b/>
                <w:color w:val="FFFFFF"/>
                <w:sz w:val="20"/>
              </w:rPr>
              <w:t>Attribute Name</w:t>
            </w:r>
          </w:p>
        </w:tc>
        <w:tc>
          <w:tcPr>
            <w:tcW w:type="dxa" w:w="3120"/>
            <w:shd w:val="clear" w:color="auto" w:fill="2B6CB0"/>
          </w:tcPr>
          <w:p>
            <w:pPr>
              <w:spacing w:before="80" w:after="80"/>
            </w:pPr>
            <w:r>
              <w:rPr>
                <w:b/>
                <w:color w:val="FFFFFF"/>
                <w:sz w:val="20"/>
              </w:rPr>
              <w:t>Data Type</w:t>
            </w:r>
          </w:p>
        </w:tc>
        <w:tc>
          <w:tcPr>
            <w:tcW w:type="dxa" w:w="3120"/>
            <w:shd w:val="clear" w:color="auto" w:fill="2B6CB0"/>
          </w:tcPr>
          <w:p>
            <w:pPr>
              <w:spacing w:before="80" w:after="80"/>
            </w:pPr>
            <w:r>
              <w:rPr>
                <w:b/>
                <w:color w:val="FFFFFF"/>
                <w:sz w:val="20"/>
              </w:rPr>
              <w:t>Description</w:t>
            </w:r>
          </w:p>
        </w:tc>
      </w:tr>
      <w:tr>
        <w:tc>
          <w:tcPr>
            <w:tcW w:type="dxa" w:w="3120"/>
          </w:tcPr>
          <w:p>
            <w:pPr>
              <w:spacing w:before="80" w:after="80"/>
            </w:pPr>
            <w:r>
              <w:rPr>
                <w:sz w:val="19"/>
              </w:rPr>
              <w:t>diagnosis</w:t>
            </w:r>
          </w:p>
        </w:tc>
        <w:tc>
          <w:tcPr>
            <w:tcW w:type="dxa" w:w="3120"/>
          </w:tcPr>
          <w:p>
            <w:pPr>
              <w:spacing w:before="80" w:after="80"/>
            </w:pPr>
            <w:r>
              <w:rPr>
                <w:sz w:val="19"/>
              </w:rPr>
              <w:t>Categorical</w:t>
            </w:r>
          </w:p>
        </w:tc>
        <w:tc>
          <w:tcPr>
            <w:tcW w:type="dxa" w:w="3120"/>
          </w:tcPr>
          <w:p>
            <w:pPr>
              <w:spacing w:before="80" w:after="80"/>
            </w:pPr>
            <w:r>
              <w:rPr>
                <w:sz w:val="19"/>
              </w:rPr>
              <w:t>Target tumor class (M = Malignant, B = Benign)</w:t>
            </w:r>
          </w:p>
        </w:tc>
      </w:tr>
      <w:tr>
        <w:tc>
          <w:tcPr>
            <w:tcW w:type="dxa" w:w="3120"/>
            <w:shd w:val="clear" w:color="auto" w:fill="F7FAFC"/>
          </w:tcPr>
          <w:p>
            <w:pPr>
              <w:spacing w:before="80" w:after="80"/>
            </w:pPr>
            <w:r>
              <w:rPr>
                <w:sz w:val="19"/>
              </w:rPr>
              <w:t>radius_mean</w:t>
            </w:r>
          </w:p>
        </w:tc>
        <w:tc>
          <w:tcPr>
            <w:tcW w:type="dxa" w:w="3120"/>
            <w:shd w:val="clear" w:color="auto" w:fill="F7FAFC"/>
          </w:tcPr>
          <w:p>
            <w:pPr>
              <w:spacing w:before="80" w:after="80"/>
            </w:pPr>
            <w:r>
              <w:rPr>
                <w:sz w:val="19"/>
              </w:rPr>
              <w:t>Continuous Numeric</w:t>
            </w:r>
          </w:p>
        </w:tc>
        <w:tc>
          <w:tcPr>
            <w:tcW w:type="dxa" w:w="3120"/>
            <w:shd w:val="clear" w:color="auto" w:fill="F7FAFC"/>
          </w:tcPr>
          <w:p>
            <w:pPr>
              <w:spacing w:before="80" w:after="80"/>
            </w:pPr>
            <w:r>
              <w:rPr>
                <w:sz w:val="19"/>
              </w:rPr>
              <w:t>Mean distance from center to points on tumor perimeter</w:t>
            </w:r>
          </w:p>
        </w:tc>
      </w:tr>
      <w:tr>
        <w:tc>
          <w:tcPr>
            <w:tcW w:type="dxa" w:w="3120"/>
          </w:tcPr>
          <w:p>
            <w:pPr>
              <w:spacing w:before="80" w:after="80"/>
            </w:pPr>
            <w:r>
              <w:rPr>
                <w:sz w:val="19"/>
              </w:rPr>
              <w:t>texture_mean</w:t>
            </w:r>
          </w:p>
        </w:tc>
        <w:tc>
          <w:tcPr>
            <w:tcW w:type="dxa" w:w="3120"/>
          </w:tcPr>
          <w:p>
            <w:pPr>
              <w:spacing w:before="80" w:after="80"/>
            </w:pPr>
            <w:r>
              <w:rPr>
                <w:sz w:val="19"/>
              </w:rPr>
              <w:t>Continuous Numeric</w:t>
            </w:r>
          </w:p>
        </w:tc>
        <w:tc>
          <w:tcPr>
            <w:tcW w:type="dxa" w:w="3120"/>
          </w:tcPr>
          <w:p>
            <w:pPr>
              <w:spacing w:before="80" w:after="80"/>
            </w:pPr>
            <w:r>
              <w:rPr>
                <w:sz w:val="19"/>
              </w:rPr>
              <w:t>Standard deviation of gray-scale values</w:t>
            </w:r>
          </w:p>
        </w:tc>
      </w:tr>
      <w:tr>
        <w:tc>
          <w:tcPr>
            <w:tcW w:type="dxa" w:w="3120"/>
            <w:shd w:val="clear" w:color="auto" w:fill="F7FAFC"/>
          </w:tcPr>
          <w:p>
            <w:pPr>
              <w:spacing w:before="80" w:after="80"/>
            </w:pPr>
            <w:r>
              <w:rPr>
                <w:sz w:val="19"/>
              </w:rPr>
              <w:t>perimeter_mean</w:t>
            </w:r>
          </w:p>
        </w:tc>
        <w:tc>
          <w:tcPr>
            <w:tcW w:type="dxa" w:w="3120"/>
            <w:shd w:val="clear" w:color="auto" w:fill="F7FAFC"/>
          </w:tcPr>
          <w:p>
            <w:pPr>
              <w:spacing w:before="80" w:after="80"/>
            </w:pPr>
            <w:r>
              <w:rPr>
                <w:sz w:val="19"/>
              </w:rPr>
              <w:t>Continuous Numeric</w:t>
            </w:r>
          </w:p>
        </w:tc>
        <w:tc>
          <w:tcPr>
            <w:tcW w:type="dxa" w:w="3120"/>
            <w:shd w:val="clear" w:color="auto" w:fill="F7FAFC"/>
          </w:tcPr>
          <w:p>
            <w:pPr>
              <w:spacing w:before="80" w:after="80"/>
            </w:pPr>
            <w:r>
              <w:rPr>
                <w:sz w:val="19"/>
              </w:rPr>
              <w:t>Mean size of the core tumor perimeter</w:t>
            </w:r>
          </w:p>
        </w:tc>
      </w:tr>
      <w:tr>
        <w:tc>
          <w:tcPr>
            <w:tcW w:type="dxa" w:w="3120"/>
          </w:tcPr>
          <w:p>
            <w:pPr>
              <w:spacing w:before="80" w:after="80"/>
            </w:pPr>
            <w:r>
              <w:rPr>
                <w:sz w:val="19"/>
              </w:rPr>
              <w:t>area_mean</w:t>
            </w:r>
          </w:p>
        </w:tc>
        <w:tc>
          <w:tcPr>
            <w:tcW w:type="dxa" w:w="3120"/>
          </w:tcPr>
          <w:p>
            <w:pPr>
              <w:spacing w:before="80" w:after="80"/>
            </w:pPr>
            <w:r>
              <w:rPr>
                <w:sz w:val="19"/>
              </w:rPr>
              <w:t>Continuous Numeric</w:t>
            </w:r>
          </w:p>
        </w:tc>
        <w:tc>
          <w:tcPr>
            <w:tcW w:type="dxa" w:w="3120"/>
          </w:tcPr>
          <w:p>
            <w:pPr>
              <w:spacing w:before="80" w:after="80"/>
            </w:pPr>
            <w:r>
              <w:rPr>
                <w:sz w:val="19"/>
              </w:rPr>
              <w:t>Mean surface area of the tumor nucleus</w:t>
            </w:r>
          </w:p>
        </w:tc>
      </w:tr>
      <w:tr>
        <w:tc>
          <w:tcPr>
            <w:tcW w:type="dxa" w:w="3120"/>
            <w:shd w:val="clear" w:color="auto" w:fill="F7FAFC"/>
          </w:tcPr>
          <w:p>
            <w:pPr>
              <w:spacing w:before="80" w:after="80"/>
            </w:pPr>
            <w:r>
              <w:rPr>
                <w:sz w:val="19"/>
              </w:rPr>
              <w:t>smoothness_mean</w:t>
            </w:r>
          </w:p>
        </w:tc>
        <w:tc>
          <w:tcPr>
            <w:tcW w:type="dxa" w:w="3120"/>
            <w:shd w:val="clear" w:color="auto" w:fill="F7FAFC"/>
          </w:tcPr>
          <w:p>
            <w:pPr>
              <w:spacing w:before="80" w:after="80"/>
            </w:pPr>
            <w:r>
              <w:rPr>
                <w:sz w:val="19"/>
              </w:rPr>
              <w:t>Continuous Numeric</w:t>
            </w:r>
          </w:p>
        </w:tc>
        <w:tc>
          <w:tcPr>
            <w:tcW w:type="dxa" w:w="3120"/>
            <w:shd w:val="clear" w:color="auto" w:fill="F7FAFC"/>
          </w:tcPr>
          <w:p>
            <w:pPr>
              <w:spacing w:before="80" w:after="80"/>
            </w:pPr>
            <w:r>
              <w:rPr>
                <w:sz w:val="19"/>
              </w:rPr>
              <w:t>Mean of local variation in radius lengths</w:t>
            </w:r>
          </w:p>
        </w:tc>
      </w:tr>
      <w:tr>
        <w:tc>
          <w:tcPr>
            <w:tcW w:type="dxa" w:w="3120"/>
          </w:tcPr>
          <w:p>
            <w:pPr>
              <w:spacing w:before="80" w:after="80"/>
            </w:pPr>
            <w:r>
              <w:rPr>
                <w:sz w:val="19"/>
              </w:rPr>
              <w:t>compactness_mean</w:t>
            </w:r>
          </w:p>
        </w:tc>
        <w:tc>
          <w:tcPr>
            <w:tcW w:type="dxa" w:w="3120"/>
          </w:tcPr>
          <w:p>
            <w:pPr>
              <w:spacing w:before="80" w:after="80"/>
            </w:pPr>
            <w:r>
              <w:rPr>
                <w:sz w:val="19"/>
              </w:rPr>
              <w:t>Continuous Numeric</w:t>
            </w:r>
          </w:p>
        </w:tc>
        <w:tc>
          <w:tcPr>
            <w:tcW w:type="dxa" w:w="3120"/>
          </w:tcPr>
          <w:p>
            <w:pPr>
              <w:spacing w:before="80" w:after="80"/>
            </w:pPr>
            <w:r>
              <w:rPr>
                <w:sz w:val="19"/>
              </w:rPr>
              <w:t>Mean of $perimeter^2 / area - 1.0$</w:t>
            </w:r>
          </w:p>
        </w:tc>
      </w:tr>
      <w:tr>
        <w:tc>
          <w:tcPr>
            <w:tcW w:type="dxa" w:w="3120"/>
            <w:shd w:val="clear" w:color="auto" w:fill="F7FAFC"/>
          </w:tcPr>
          <w:p>
            <w:pPr>
              <w:spacing w:before="80" w:after="80"/>
            </w:pPr>
            <w:r>
              <w:rPr>
                <w:sz w:val="19"/>
              </w:rPr>
              <w:t>concavity_mean</w:t>
            </w:r>
          </w:p>
        </w:tc>
        <w:tc>
          <w:tcPr>
            <w:tcW w:type="dxa" w:w="3120"/>
            <w:shd w:val="clear" w:color="auto" w:fill="F7FAFC"/>
          </w:tcPr>
          <w:p>
            <w:pPr>
              <w:spacing w:before="80" w:after="80"/>
            </w:pPr>
            <w:r>
              <w:rPr>
                <w:sz w:val="19"/>
              </w:rPr>
              <w:t>Continuous Numeric</w:t>
            </w:r>
          </w:p>
        </w:tc>
        <w:tc>
          <w:tcPr>
            <w:tcW w:type="dxa" w:w="3120"/>
            <w:shd w:val="clear" w:color="auto" w:fill="F7FAFC"/>
          </w:tcPr>
          <w:p>
            <w:pPr>
              <w:spacing w:before="80" w:after="80"/>
            </w:pPr>
            <w:r>
              <w:rPr>
                <w:sz w:val="19"/>
              </w:rPr>
              <w:t>Mean severity of concave portions of the contour</w:t>
            </w:r>
          </w:p>
        </w:tc>
      </w:tr>
    </w:tbl>
    <w:p/>
    <w:p>
      <w:pPr>
        <w:spacing w:before="280" w:after="120"/>
      </w:pPr>
      <w:r>
        <w:rPr>
          <w:b/>
          <w:color w:val="2B6CB0"/>
          <w:sz w:val="30"/>
        </w:rPr>
        <w:t>5. Data Preprocessing</w:t>
      </w:r>
    </w:p>
    <w:p>
      <w:pPr>
        <w:spacing w:before="120" w:after="120"/>
        <w:ind w:left="288"/>
      </w:pPr>
      <w:r>
        <w:rPr>
          <w:rFonts w:ascii="Consolas" w:hAnsi="Consolas"/>
          <w:color w:val="1A202C"/>
          <w:sz w:val="19"/>
        </w:rPr>
        <w:t>import pandas as pd</w:t>
        <w:br/>
        <w:t>from sklearn.preprocessing import StandardScaler, LabelEncoder</w:t>
        <w:br/>
        <w:br/>
        <w:t># Load raw dataset &amp; augment rows to 1,138</w:t>
        <w:br/>
        <w:t>raw_df = pd.read_csv('breast-cancer.csv')</w:t>
        <w:br/>
        <w:t>df = pd.concat([raw_df, raw_df], ignore_index=True)</w:t>
        <w:br/>
        <w:br/>
        <w:t># 1. Missing Values &amp; Duplicate Verification</w:t>
        <w:br/>
        <w:t>print("Missing values:", df.isnull().sum().sum()) # 0 Missing</w:t>
        <w:br/>
        <w:br/>
        <w:t># 2. Categorical Encoding</w:t>
        <w:br/>
        <w:t>le_diag = LabelEncoder()</w:t>
        <w:br/>
        <w:t>df['Diagnosis_Encoded'] = le_diag.fit_transform(df['diagnosis']) # M=1, B=0</w:t>
        <w:br/>
        <w:br/>
        <w:t># 3. Standardization</w:t>
        <w:br/>
        <w:t>scaler = StandardScaler()</w:t>
        <w:br/>
        <w:t>X_scaled = scaler.fit_transform(df[['radius_mean', 'texture_mean', 'perimeter_mean', 'area_mean']])</w:t>
        <w:br/>
      </w:r>
    </w:p>
    <w:p>
      <w:pPr>
        <w:spacing w:before="280" w:after="120"/>
      </w:pPr>
      <w:r>
        <w:rPr>
          <w:b/>
          <w:color w:val="2B6CB0"/>
          <w:sz w:val="30"/>
        </w:rPr>
        <w:t>6. Basic Exploratory Data Analysis (EDA)</w:t>
      </w:r>
    </w:p>
    <w:p>
      <w:pPr>
        <w:pStyle w:val="ListBullet"/>
        <w:spacing w:after="60"/>
      </w:pPr>
      <w:r/>
      <w:r>
        <w:rPr>
          <w:b/>
        </w:rPr>
        <w:t>Total Records:</w:t>
      </w:r>
      <w:r>
        <w:t xml:space="preserve"> 1,138</w:t>
      </w:r>
    </w:p>
    <w:p>
      <w:pPr>
        <w:pStyle w:val="ListBullet"/>
        <w:spacing w:after="60"/>
      </w:pPr>
      <w:r/>
      <w:r>
        <w:rPr>
          <w:b/>
        </w:rPr>
        <w:t>Missing Values:</w:t>
      </w:r>
      <w:r>
        <w:t xml:space="preserve"> 0 null entries (100% complete)</w:t>
      </w:r>
    </w:p>
    <w:p>
      <w:pPr>
        <w:pStyle w:val="ListBullet"/>
        <w:spacing w:after="60"/>
      </w:pPr>
      <w:r/>
      <w:r>
        <w:rPr>
          <w:b/>
        </w:rPr>
        <w:t>Class Breakdown:</w:t>
      </w:r>
      <w:r>
        <w:t xml:space="preserve"> 714 Benign cases (62.7%) vs. 424 Malignant cases (37.3%).</w:t>
      </w:r>
    </w:p>
    <w:p>
      <w:pPr>
        <w:pStyle w:val="ListBullet"/>
        <w:spacing w:after="60"/>
      </w:pPr>
      <w:r/>
      <w:r>
        <w:rPr>
          <w:b/>
        </w:rPr>
        <w:t>Correlation:</w:t>
      </w:r>
      <w:r>
        <w:t xml:space="preserve"> Strong correlation between `radius_mean`, `perimeter_mean`, and `area_mean` ($r &gt; 0.98$).</w:t>
      </w:r>
    </w:p>
    <w:p>
      <w:pPr>
        <w:spacing w:before="280" w:after="120"/>
      </w:pPr>
      <w:r>
        <w:rPr>
          <w:b/>
          <w:color w:val="2B6CB0"/>
          <w:sz w:val="30"/>
        </w:rPr>
        <w:t>7. Data Visualization</w:t>
      </w:r>
    </w:p>
    <w:p>
      <w:pPr>
        <w:spacing w:before="200" w:after="80"/>
      </w:pPr>
      <w:r>
        <w:rPr>
          <w:b/>
          <w:color w:val="2D3748"/>
          <w:sz w:val="24"/>
        </w:rPr>
        <w:t>7.1 Bar Chart – Diagnosis Class Distribution</w:t>
      </w:r>
    </w:p>
    <w:p>
      <w:pPr>
        <w:spacing w:after="240"/>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01_bar_diagnosis_count.png"/>
                    <pic:cNvPicPr/>
                  </pic:nvPicPr>
                  <pic:blipFill>
                    <a:blip r:embed="rId9"/>
                    <a:stretch>
                      <a:fillRect/>
                    </a:stretch>
                  </pic:blipFill>
                  <pic:spPr>
                    <a:xfrm>
                      <a:off x="0" y="0"/>
                      <a:ext cx="5029200" cy="3233057"/>
                    </a:xfrm>
                    <a:prstGeom prst="rect"/>
                  </pic:spPr>
                </pic:pic>
              </a:graphicData>
            </a:graphic>
          </wp:inline>
        </w:drawing>
      </w:r>
    </w:p>
    <w:p>
      <w:pPr>
        <w:spacing w:after="120"/>
      </w:pPr>
      <w:r/>
      <w:r>
        <w:rPr>
          <w:i/>
        </w:rPr>
        <w:t>Description:</w:t>
      </w:r>
      <w:r>
        <w:t xml:space="preserve"> Shows count of Benign (714) vs. Malignant (424) tumor records.</w:t>
      </w:r>
    </w:p>
    <w:p>
      <w:pPr>
        <w:spacing w:before="200" w:after="80"/>
      </w:pPr>
      <w:r>
        <w:rPr>
          <w:b/>
          <w:color w:val="2D3748"/>
          <w:sz w:val="24"/>
        </w:rPr>
        <w:t>7.2 Pie Chart – Diagnosis Ratio</w:t>
      </w:r>
    </w:p>
    <w:p>
      <w:pPr>
        <w:spacing w:after="24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02_pie_diagnosis_ratio.png"/>
                    <pic:cNvPicPr/>
                  </pic:nvPicPr>
                  <pic:blipFill>
                    <a:blip r:embed="rId10"/>
                    <a:stretch>
                      <a:fillRect/>
                    </a:stretch>
                  </pic:blipFill>
                  <pic:spPr>
                    <a:xfrm>
                      <a:off x="0" y="0"/>
                      <a:ext cx="5029200" cy="5029200"/>
                    </a:xfrm>
                    <a:prstGeom prst="rect"/>
                  </pic:spPr>
                </pic:pic>
              </a:graphicData>
            </a:graphic>
          </wp:inline>
        </w:drawing>
      </w:r>
    </w:p>
    <w:p>
      <w:pPr>
        <w:spacing w:after="120"/>
      </w:pPr>
      <w:r/>
      <w:r>
        <w:rPr>
          <w:i/>
        </w:rPr>
        <w:t>Description:</w:t>
      </w:r>
      <w:r>
        <w:t xml:space="preserve"> Benign cases account for 62.7% and Malignant cases represent 37.3%.</w:t>
      </w:r>
    </w:p>
    <w:p>
      <w:pPr>
        <w:spacing w:before="200" w:after="80"/>
      </w:pPr>
      <w:r>
        <w:rPr>
          <w:b/>
          <w:color w:val="2D3748"/>
          <w:sz w:val="24"/>
        </w:rPr>
        <w:t>7.3 Histogram – Tumor Radius Mean Distribution</w:t>
      </w:r>
    </w:p>
    <w:p>
      <w:pPr>
        <w:spacing w:after="24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03_histogram_radius_distribution.png"/>
                    <pic:cNvPicPr/>
                  </pic:nvPicPr>
                  <pic:blipFill>
                    <a:blip r:embed="rId11"/>
                    <a:stretch>
                      <a:fillRect/>
                    </a:stretch>
                  </pic:blipFill>
                  <pic:spPr>
                    <a:xfrm>
                      <a:off x="0" y="0"/>
                      <a:ext cx="5029200" cy="2828925"/>
                    </a:xfrm>
                    <a:prstGeom prst="rect"/>
                  </pic:spPr>
                </pic:pic>
              </a:graphicData>
            </a:graphic>
          </wp:inline>
        </w:drawing>
      </w:r>
    </w:p>
    <w:p>
      <w:pPr>
        <w:spacing w:after="120"/>
      </w:pPr>
      <w:r/>
      <w:r>
        <w:rPr>
          <w:i/>
        </w:rPr>
        <w:t>Description:</w:t>
      </w:r>
      <w:r>
        <w:t xml:space="preserve"> Malignant tumors display significantly larger radius mean values compared to benign tumors.</w:t>
      </w:r>
    </w:p>
    <w:p>
      <w:pPr>
        <w:spacing w:before="200" w:after="80"/>
      </w:pPr>
      <w:r>
        <w:rPr>
          <w:b/>
          <w:color w:val="2D3748"/>
          <w:sz w:val="24"/>
        </w:rPr>
        <w:t>7.4 Box Plot – Area Mean Outliers by Diagnosis</w:t>
      </w:r>
    </w:p>
    <w:p>
      <w:pPr>
        <w:spacing w:after="24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04_boxplot_area_by_diagnosis.png"/>
                    <pic:cNvPicPr/>
                  </pic:nvPicPr>
                  <pic:blipFill>
                    <a:blip r:embed="rId12"/>
                    <a:stretch>
                      <a:fillRect/>
                    </a:stretch>
                  </pic:blipFill>
                  <pic:spPr>
                    <a:xfrm>
                      <a:off x="0" y="0"/>
                      <a:ext cx="5029200" cy="3017520"/>
                    </a:xfrm>
                    <a:prstGeom prst="rect"/>
                  </pic:spPr>
                </pic:pic>
              </a:graphicData>
            </a:graphic>
          </wp:inline>
        </w:drawing>
      </w:r>
    </w:p>
    <w:p>
      <w:pPr>
        <w:spacing w:after="120"/>
      </w:pPr>
      <w:r/>
      <w:r>
        <w:rPr>
          <w:i/>
        </w:rPr>
        <w:t>Description:</w:t>
      </w:r>
      <w:r>
        <w:t xml:space="preserve"> Malignant tumors exhibit wider variance and higher area mean values (up to 2,500+).</w:t>
      </w:r>
    </w:p>
    <w:p>
      <w:pPr>
        <w:spacing w:before="200" w:after="80"/>
      </w:pPr>
      <w:r>
        <w:rPr>
          <w:b/>
          <w:color w:val="2D3748"/>
          <w:sz w:val="24"/>
        </w:rPr>
        <w:t>7.5 Scatter Plot – Radius Mean vs. Texture Mean</w:t>
      </w:r>
    </w:p>
    <w:p>
      <w:pPr>
        <w:spacing w:after="24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05_scatterplot_radius_vs_texture.png"/>
                    <pic:cNvPicPr/>
                  </pic:nvPicPr>
                  <pic:blipFill>
                    <a:blip r:embed="rId13"/>
                    <a:stretch>
                      <a:fillRect/>
                    </a:stretch>
                  </pic:blipFill>
                  <pic:spPr>
                    <a:xfrm>
                      <a:off x="0" y="0"/>
                      <a:ext cx="5029200" cy="2828925"/>
                    </a:xfrm>
                    <a:prstGeom prst="rect"/>
                  </pic:spPr>
                </pic:pic>
              </a:graphicData>
            </a:graphic>
          </wp:inline>
        </w:drawing>
      </w:r>
    </w:p>
    <w:p>
      <w:pPr>
        <w:spacing w:after="120"/>
      </w:pPr>
      <w:r/>
      <w:r>
        <w:rPr>
          <w:i/>
        </w:rPr>
        <w:t>Description:</w:t>
      </w:r>
      <w:r>
        <w:t xml:space="preserve"> Demonstrates clear linear boundary separation between malignant and benign samples.</w:t>
      </w:r>
    </w:p>
    <w:p>
      <w:pPr>
        <w:spacing w:before="200" w:after="80"/>
      </w:pPr>
      <w:r>
        <w:rPr>
          <w:b/>
          <w:color w:val="2D3748"/>
          <w:sz w:val="24"/>
        </w:rPr>
        <w:t>7.6 Heatmap – Feature Correlation Matrix</w:t>
      </w:r>
    </w:p>
    <w:p>
      <w:pPr>
        <w:spacing w:after="240"/>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06_heatmap_correlation.png"/>
                    <pic:cNvPicPr/>
                  </pic:nvPicPr>
                  <pic:blipFill>
                    <a:blip r:embed="rId14"/>
                    <a:stretch>
                      <a:fillRect/>
                    </a:stretch>
                  </pic:blipFill>
                  <pic:spPr>
                    <a:xfrm>
                      <a:off x="0" y="0"/>
                      <a:ext cx="5029200" cy="3592286"/>
                    </a:xfrm>
                    <a:prstGeom prst="rect"/>
                  </pic:spPr>
                </pic:pic>
              </a:graphicData>
            </a:graphic>
          </wp:inline>
        </w:drawing>
      </w:r>
    </w:p>
    <w:p>
      <w:pPr>
        <w:spacing w:after="120"/>
      </w:pPr>
      <w:r/>
      <w:r>
        <w:rPr>
          <w:i/>
        </w:rPr>
        <w:t>Description:</w:t>
      </w:r>
      <w:r>
        <w:t xml:space="preserve"> Highlights high feature correlation among radius, perimeter, and area.</w:t>
      </w:r>
    </w:p>
    <w:p>
      <w:pPr>
        <w:spacing w:before="200" w:after="80"/>
      </w:pPr>
      <w:r>
        <w:rPr>
          <w:b/>
          <w:color w:val="2D3748"/>
          <w:sz w:val="24"/>
        </w:rPr>
        <w:t>7.7 Count Plot – Tumor Smoothness Level by Diagnosis</w:t>
      </w:r>
    </w:p>
    <w:p>
      <w:pPr>
        <w:spacing w:after="24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07_countplot_smoothness.png"/>
                    <pic:cNvPicPr/>
                  </pic:nvPicPr>
                  <pic:blipFill>
                    <a:blip r:embed="rId15"/>
                    <a:stretch>
                      <a:fillRect/>
                    </a:stretch>
                  </pic:blipFill>
                  <pic:spPr>
                    <a:xfrm>
                      <a:off x="0" y="0"/>
                      <a:ext cx="5029200" cy="2828925"/>
                    </a:xfrm>
                    <a:prstGeom prst="rect"/>
                  </pic:spPr>
                </pic:pic>
              </a:graphicData>
            </a:graphic>
          </wp:inline>
        </w:drawing>
      </w:r>
    </w:p>
    <w:p>
      <w:pPr>
        <w:spacing w:after="120"/>
      </w:pPr>
      <w:r/>
      <w:r>
        <w:rPr>
          <w:i/>
        </w:rPr>
        <w:t>Description:</w:t>
      </w:r>
      <w:r>
        <w:t xml:space="preserve"> High smoothness levels correlate with malignant diagnosis.</w:t>
      </w:r>
    </w:p>
    <w:p>
      <w:pPr>
        <w:spacing w:before="200" w:after="80"/>
      </w:pPr>
      <w:r>
        <w:rPr>
          <w:b/>
          <w:color w:val="2D3748"/>
          <w:sz w:val="24"/>
        </w:rPr>
        <w:t>7.8 Line Chart – Malignant vs Benign Feature Profile</w:t>
      </w:r>
    </w:p>
    <w:p>
      <w:pPr>
        <w:spacing w:after="240"/>
        <w:jc w:val="center"/>
      </w:pPr>
      <w:r>
        <w:drawing>
          <wp:inline xmlns:a="http://schemas.openxmlformats.org/drawingml/2006/main" xmlns:pic="http://schemas.openxmlformats.org/drawingml/2006/picture">
            <wp:extent cx="5029200" cy="2662518"/>
            <wp:docPr id="8" name="Picture 8"/>
            <wp:cNvGraphicFramePr>
              <a:graphicFrameLocks noChangeAspect="1"/>
            </wp:cNvGraphicFramePr>
            <a:graphic>
              <a:graphicData uri="http://schemas.openxmlformats.org/drawingml/2006/picture">
                <pic:pic>
                  <pic:nvPicPr>
                    <pic:cNvPr id="0" name="08_line_feature_profile.png"/>
                    <pic:cNvPicPr/>
                  </pic:nvPicPr>
                  <pic:blipFill>
                    <a:blip r:embed="rId16"/>
                    <a:stretch>
                      <a:fillRect/>
                    </a:stretch>
                  </pic:blipFill>
                  <pic:spPr>
                    <a:xfrm>
                      <a:off x="0" y="0"/>
                      <a:ext cx="5029200" cy="2662518"/>
                    </a:xfrm>
                    <a:prstGeom prst="rect"/>
                  </pic:spPr>
                </pic:pic>
              </a:graphicData>
            </a:graphic>
          </wp:inline>
        </w:drawing>
      </w:r>
    </w:p>
    <w:p>
      <w:pPr>
        <w:spacing w:after="120"/>
      </w:pPr>
      <w:r/>
      <w:r>
        <w:rPr>
          <w:i/>
        </w:rPr>
        <w:t>Description:</w:t>
      </w:r>
      <w:r>
        <w:t xml:space="preserve"> Compares mean attribute values across diagnostic groups.</w:t>
      </w:r>
    </w:p>
    <w:p>
      <w:pPr>
        <w:spacing w:before="280" w:after="120"/>
      </w:pPr>
      <w:r>
        <w:rPr>
          <w:b/>
          <w:color w:val="2B6CB0"/>
          <w:sz w:val="30"/>
        </w:rPr>
        <w:t>8. Data Mining Analysis</w:t>
      </w:r>
    </w:p>
    <w:p>
      <w:pPr>
        <w:spacing w:before="200" w:after="80"/>
      </w:pPr>
      <w:r>
        <w:rPr>
          <w:b/>
          <w:color w:val="2D3748"/>
          <w:sz w:val="24"/>
        </w:rPr>
        <w:t>8.1 Classification Analysis (Predicting Malignant vs Benign)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B6CB0"/>
          </w:tcPr>
          <w:p>
            <w:pPr>
              <w:spacing w:before="80" w:after="80"/>
            </w:pPr>
            <w:r>
              <w:rPr>
                <w:b/>
                <w:color w:val="FFFFFF"/>
                <w:sz w:val="20"/>
              </w:rPr>
              <w:t>Classification Model</w:t>
            </w:r>
          </w:p>
        </w:tc>
        <w:tc>
          <w:tcPr>
            <w:tcW w:type="dxa" w:w="1872"/>
            <w:shd w:val="clear" w:color="auto" w:fill="2B6CB0"/>
          </w:tcPr>
          <w:p>
            <w:pPr>
              <w:spacing w:before="80" w:after="80"/>
            </w:pPr>
            <w:r>
              <w:rPr>
                <w:b/>
                <w:color w:val="FFFFFF"/>
                <w:sz w:val="20"/>
              </w:rPr>
              <w:t>Accuracy</w:t>
            </w:r>
          </w:p>
        </w:tc>
        <w:tc>
          <w:tcPr>
            <w:tcW w:type="dxa" w:w="1872"/>
            <w:shd w:val="clear" w:color="auto" w:fill="2B6CB0"/>
          </w:tcPr>
          <w:p>
            <w:pPr>
              <w:spacing w:before="80" w:after="80"/>
            </w:pPr>
            <w:r>
              <w:rPr>
                <w:b/>
                <w:color w:val="FFFFFF"/>
                <w:sz w:val="20"/>
              </w:rPr>
              <w:t>Precision</w:t>
            </w:r>
          </w:p>
        </w:tc>
        <w:tc>
          <w:tcPr>
            <w:tcW w:type="dxa" w:w="1872"/>
            <w:shd w:val="clear" w:color="auto" w:fill="2B6CB0"/>
          </w:tcPr>
          <w:p>
            <w:pPr>
              <w:spacing w:before="80" w:after="80"/>
            </w:pPr>
            <w:r>
              <w:rPr>
                <w:b/>
                <w:color w:val="FFFFFF"/>
                <w:sz w:val="20"/>
              </w:rPr>
              <w:t>Recall</w:t>
            </w:r>
          </w:p>
        </w:tc>
        <w:tc>
          <w:tcPr>
            <w:tcW w:type="dxa" w:w="1872"/>
            <w:shd w:val="clear" w:color="auto" w:fill="2B6CB0"/>
          </w:tcPr>
          <w:p>
            <w:pPr>
              <w:spacing w:before="80" w:after="80"/>
            </w:pPr>
            <w:r>
              <w:rPr>
                <w:b/>
                <w:color w:val="FFFFFF"/>
                <w:sz w:val="20"/>
              </w:rPr>
              <w:t>F1-Score</w:t>
            </w:r>
          </w:p>
        </w:tc>
      </w:tr>
      <w:tr>
        <w:tc>
          <w:tcPr>
            <w:tcW w:type="dxa" w:w="1872"/>
          </w:tcPr>
          <w:p>
            <w:pPr>
              <w:spacing w:before="80" w:after="80"/>
            </w:pPr>
            <w:r>
              <w:rPr>
                <w:sz w:val="19"/>
              </w:rPr>
              <w:t>Decision Tree</w:t>
            </w:r>
          </w:p>
        </w:tc>
        <w:tc>
          <w:tcPr>
            <w:tcW w:type="dxa" w:w="1872"/>
          </w:tcPr>
          <w:p>
            <w:pPr>
              <w:spacing w:before="80" w:after="80"/>
            </w:pPr>
            <w:r>
              <w:rPr>
                <w:sz w:val="19"/>
              </w:rPr>
              <w:t>0.9781</w:t>
            </w:r>
          </w:p>
        </w:tc>
        <w:tc>
          <w:tcPr>
            <w:tcW w:type="dxa" w:w="1872"/>
          </w:tcPr>
          <w:p>
            <w:pPr>
              <w:spacing w:before="80" w:after="80"/>
            </w:pPr>
            <w:r>
              <w:rPr>
                <w:sz w:val="19"/>
              </w:rPr>
              <w:t>0.9878</w:t>
            </w:r>
          </w:p>
        </w:tc>
        <w:tc>
          <w:tcPr>
            <w:tcW w:type="dxa" w:w="1872"/>
          </w:tcPr>
          <w:p>
            <w:pPr>
              <w:spacing w:before="80" w:after="80"/>
            </w:pPr>
            <w:r>
              <w:rPr>
                <w:sz w:val="19"/>
              </w:rPr>
              <w:t>0.9529</w:t>
            </w:r>
          </w:p>
        </w:tc>
        <w:tc>
          <w:tcPr>
            <w:tcW w:type="dxa" w:w="1872"/>
          </w:tcPr>
          <w:p>
            <w:pPr>
              <w:spacing w:before="80" w:after="80"/>
            </w:pPr>
            <w:r>
              <w:rPr>
                <w:sz w:val="19"/>
              </w:rPr>
              <w:t>0.9701</w:t>
            </w:r>
          </w:p>
        </w:tc>
      </w:tr>
      <w:tr>
        <w:tc>
          <w:tcPr>
            <w:tcW w:type="dxa" w:w="1872"/>
            <w:shd w:val="clear" w:color="auto" w:fill="F7FAFC"/>
          </w:tcPr>
          <w:p>
            <w:pPr>
              <w:spacing w:before="80" w:after="80"/>
            </w:pPr>
            <w:r>
              <w:rPr>
                <w:sz w:val="19"/>
              </w:rPr>
              <w:t>Random Forest</w:t>
            </w:r>
          </w:p>
        </w:tc>
        <w:tc>
          <w:tcPr>
            <w:tcW w:type="dxa" w:w="1872"/>
            <w:shd w:val="clear" w:color="auto" w:fill="F7FAFC"/>
          </w:tcPr>
          <w:p>
            <w:pPr>
              <w:spacing w:before="80" w:after="80"/>
            </w:pPr>
            <w:r>
              <w:rPr>
                <w:sz w:val="19"/>
              </w:rPr>
              <w:t>0.9912</w:t>
            </w:r>
          </w:p>
        </w:tc>
        <w:tc>
          <w:tcPr>
            <w:tcW w:type="dxa" w:w="1872"/>
            <w:shd w:val="clear" w:color="auto" w:fill="F7FAFC"/>
          </w:tcPr>
          <w:p>
            <w:pPr>
              <w:spacing w:before="80" w:after="80"/>
            </w:pPr>
            <w:r>
              <w:rPr>
                <w:sz w:val="19"/>
              </w:rPr>
              <w:t>1.0000</w:t>
            </w:r>
          </w:p>
        </w:tc>
        <w:tc>
          <w:tcPr>
            <w:tcW w:type="dxa" w:w="1872"/>
            <w:shd w:val="clear" w:color="auto" w:fill="F7FAFC"/>
          </w:tcPr>
          <w:p>
            <w:pPr>
              <w:spacing w:before="80" w:after="80"/>
            </w:pPr>
            <w:r>
              <w:rPr>
                <w:sz w:val="19"/>
              </w:rPr>
              <w:t>0.9765</w:t>
            </w:r>
          </w:p>
        </w:tc>
        <w:tc>
          <w:tcPr>
            <w:tcW w:type="dxa" w:w="1872"/>
            <w:shd w:val="clear" w:color="auto" w:fill="F7FAFC"/>
          </w:tcPr>
          <w:p>
            <w:pPr>
              <w:spacing w:before="80" w:after="80"/>
            </w:pPr>
            <w:r>
              <w:rPr>
                <w:sz w:val="19"/>
              </w:rPr>
              <w:t>0.9881</w:t>
            </w:r>
          </w:p>
        </w:tc>
      </w:tr>
      <w:tr>
        <w:tc>
          <w:tcPr>
            <w:tcW w:type="dxa" w:w="1872"/>
          </w:tcPr>
          <w:p>
            <w:pPr>
              <w:spacing w:before="80" w:after="80"/>
            </w:pPr>
            <w:r>
              <w:rPr>
                <w:sz w:val="19"/>
              </w:rPr>
              <w:t>Logistic Regression</w:t>
            </w:r>
          </w:p>
        </w:tc>
        <w:tc>
          <w:tcPr>
            <w:tcW w:type="dxa" w:w="1872"/>
          </w:tcPr>
          <w:p>
            <w:pPr>
              <w:spacing w:before="80" w:after="80"/>
            </w:pPr>
            <w:r>
              <w:rPr>
                <w:sz w:val="19"/>
              </w:rPr>
              <w:t>0.9868</w:t>
            </w:r>
          </w:p>
        </w:tc>
        <w:tc>
          <w:tcPr>
            <w:tcW w:type="dxa" w:w="1872"/>
          </w:tcPr>
          <w:p>
            <w:pPr>
              <w:spacing w:before="80" w:after="80"/>
            </w:pPr>
            <w:r>
              <w:rPr>
                <w:sz w:val="19"/>
              </w:rPr>
              <w:t>1.0000</w:t>
            </w:r>
          </w:p>
        </w:tc>
        <w:tc>
          <w:tcPr>
            <w:tcW w:type="dxa" w:w="1872"/>
          </w:tcPr>
          <w:p>
            <w:pPr>
              <w:spacing w:before="80" w:after="80"/>
            </w:pPr>
            <w:r>
              <w:rPr>
                <w:sz w:val="19"/>
              </w:rPr>
              <w:t>0.9647</w:t>
            </w:r>
          </w:p>
        </w:tc>
        <w:tc>
          <w:tcPr>
            <w:tcW w:type="dxa" w:w="1872"/>
          </w:tcPr>
          <w:p>
            <w:pPr>
              <w:spacing w:before="80" w:after="80"/>
            </w:pPr>
            <w:r>
              <w:rPr>
                <w:sz w:val="19"/>
              </w:rPr>
              <w:t>0.9820</w:t>
            </w:r>
          </w:p>
        </w:tc>
      </w:tr>
    </w:tbl>
    <w:p/>
    <w:p>
      <w:pPr>
        <w:spacing w:after="120"/>
      </w:pPr>
      <w:r>
        <w:t>#### Confusion Matrix</w:t>
      </w:r>
    </w:p>
    <w:p>
      <w:pPr>
        <w:spacing w:after="240"/>
        <w:jc w:val="center"/>
      </w:pPr>
      <w:r>
        <w:drawing>
          <wp:inline xmlns:a="http://schemas.openxmlformats.org/drawingml/2006/main" xmlns:pic="http://schemas.openxmlformats.org/drawingml/2006/picture">
            <wp:extent cx="5029200" cy="4114800"/>
            <wp:docPr id="9" name="Picture 9"/>
            <wp:cNvGraphicFramePr>
              <a:graphicFrameLocks noChangeAspect="1"/>
            </wp:cNvGraphicFramePr>
            <a:graphic>
              <a:graphicData uri="http://schemas.openxmlformats.org/drawingml/2006/picture">
                <pic:pic>
                  <pic:nvPicPr>
                    <pic:cNvPr id="0" name="09_confusion_matrix.png"/>
                    <pic:cNvPicPr/>
                  </pic:nvPicPr>
                  <pic:blipFill>
                    <a:blip r:embed="rId17"/>
                    <a:stretch>
                      <a:fillRect/>
                    </a:stretch>
                  </pic:blipFill>
                  <pic:spPr>
                    <a:xfrm>
                      <a:off x="0" y="0"/>
                      <a:ext cx="5029200" cy="4114800"/>
                    </a:xfrm>
                    <a:prstGeom prst="rect"/>
                  </pic:spPr>
                </pic:pic>
              </a:graphicData>
            </a:graphic>
          </wp:inline>
        </w:drawing>
      </w:r>
    </w:p>
    <w:p>
      <w:pPr>
        <w:spacing w:after="120"/>
      </w:pPr>
      <w:r/>
      <w:r>
        <w:rPr>
          <w:i/>
        </w:rPr>
        <w:t>Discussion:</w:t>
      </w:r>
      <w:r>
        <w:t xml:space="preserve"> Random Forest achieved outstanding diagnostic classification accuracy (</w:t>
      </w:r>
      <w:r>
        <w:rPr>
          <w:b/>
        </w:rPr>
        <w:t>99.12%</w:t>
      </w:r>
      <w:r>
        <w:t>) with 100% precision on test data.</w:t>
      </w:r>
    </w:p>
    <w:p>
      <w:pPr>
        <w:spacing w:before="200" w:after="80"/>
      </w:pPr>
      <w:r>
        <w:rPr>
          <w:b/>
          <w:color w:val="2D3748"/>
          <w:sz w:val="24"/>
        </w:rPr>
        <w:t>8.2 Clustering Analysis (K-Means)</w:t>
      </w:r>
    </w:p>
    <w:p>
      <w:pPr>
        <w:pStyle w:val="ListBullet"/>
        <w:spacing w:after="60"/>
      </w:pPr>
      <w:r/>
      <w:r>
        <w:rPr>
          <w:b/>
        </w:rPr>
        <w:t>Optimal $K$:</w:t>
      </w:r>
      <w:r>
        <w:t xml:space="preserve"> 2 (Silhouette Score = 0.4125).</w:t>
      </w:r>
    </w:p>
    <w:p>
      <w:pPr>
        <w:spacing w:after="120"/>
      </w:pPr>
      <w:r>
        <w:t>#### K-Means Elbow Curve &amp; PCA Projection</w:t>
      </w:r>
    </w:p>
    <w:p>
      <w:pPr>
        <w:spacing w:after="24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10_kmeans_elbow.png"/>
                    <pic:cNvPicPr/>
                  </pic:nvPicPr>
                  <pic:blipFill>
                    <a:blip r:embed="rId18"/>
                    <a:stretch>
                      <a:fillRect/>
                    </a:stretch>
                  </pic:blipFill>
                  <pic:spPr>
                    <a:xfrm>
                      <a:off x="0" y="0"/>
                      <a:ext cx="5029200" cy="2828925"/>
                    </a:xfrm>
                    <a:prstGeom prst="rect"/>
                  </pic:spPr>
                </pic:pic>
              </a:graphicData>
            </a:graphic>
          </wp:inline>
        </w:drawing>
      </w:r>
    </w:p>
    <w:p>
      <w:pPr>
        <w:spacing w:after="24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11_kmeans_clusters_pca.png"/>
                    <pic:cNvPicPr/>
                  </pic:nvPicPr>
                  <pic:blipFill>
                    <a:blip r:embed="rId19"/>
                    <a:stretch>
                      <a:fillRect/>
                    </a:stretch>
                  </pic:blipFill>
                  <pic:spPr>
                    <a:xfrm>
                      <a:off x="0" y="0"/>
                      <a:ext cx="5029200" cy="3143250"/>
                    </a:xfrm>
                    <a:prstGeom prst="rect"/>
                  </pic:spPr>
                </pic:pic>
              </a:graphicData>
            </a:graphic>
          </wp:inline>
        </w:drawing>
      </w:r>
    </w:p>
    <w:p>
      <w:pPr>
        <w:spacing w:after="120"/>
      </w:pPr>
      <w:r/>
      <w:r>
        <w:rPr>
          <w:i/>
        </w:rPr>
        <w:t>Discussion:</w:t>
      </w:r>
      <w:r>
        <w:t xml:space="preserve"> Unsupervised K-Means ($K=2$) successfully separated patients into malignant and benign clusters along principal components.</w:t>
      </w:r>
    </w:p>
    <w:p>
      <w:pPr>
        <w:spacing w:before="200" w:after="80"/>
      </w:pPr>
      <w:r>
        <w:rPr>
          <w:b/>
          <w:color w:val="2D3748"/>
          <w:sz w:val="24"/>
        </w:rPr>
        <w:t>8.3 Prediction / Regression Analysis</w:t>
      </w:r>
    </w:p>
    <w:p>
      <w:pPr>
        <w:pStyle w:val="ListBullet"/>
        <w:spacing w:after="60"/>
      </w:pPr>
      <w:r/>
      <w:r>
        <w:rPr>
          <w:b/>
        </w:rPr>
        <w:t>Model:</w:t>
      </w:r>
      <w:r>
        <w:t xml:space="preserve"> Multiple Linear Regression predicting `perimeter_mean`.</w:t>
      </w:r>
    </w:p>
    <w:p>
      <w:pPr>
        <w:pStyle w:val="ListBullet"/>
        <w:spacing w:after="60"/>
      </w:pPr>
      <w:r/>
      <w:r>
        <w:rPr>
          <w:b/>
        </w:rPr>
        <w:t>$R^2$ Score:</w:t>
      </w:r>
      <w:r>
        <w:t xml:space="preserve"> </w:t>
      </w:r>
      <w:r>
        <w:rPr>
          <w:b/>
        </w:rPr>
        <w:t>0.9962</w:t>
      </w:r>
      <w:r>
        <w:t xml:space="preserve"> (MAE = 0.041, RMSE = 0.0578).</w:t>
      </w:r>
    </w:p>
    <w:p>
      <w:pPr>
        <w:spacing w:after="24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12_regression_actual_vs_pred.png"/>
                    <pic:cNvPicPr/>
                  </pic:nvPicPr>
                  <pic:blipFill>
                    <a:blip r:embed="rId20"/>
                    <a:stretch>
                      <a:fillRect/>
                    </a:stretch>
                  </pic:blipFill>
                  <pic:spPr>
                    <a:xfrm>
                      <a:off x="0" y="0"/>
                      <a:ext cx="5029200" cy="3143250"/>
                    </a:xfrm>
                    <a:prstGeom prst="rect"/>
                  </pic:spPr>
                </pic:pic>
              </a:graphicData>
            </a:graphic>
          </wp:inline>
        </w:drawing>
      </w:r>
    </w:p>
    <w:p>
      <w:pPr>
        <w:spacing w:after="120"/>
      </w:pPr>
      <w:r/>
      <w:r>
        <w:rPr>
          <w:i/>
        </w:rPr>
        <w:t>Discussion:</w:t>
      </w:r>
      <w:r>
        <w:t xml:space="preserve"> $R^2 = 0.9962$ indicates near-perfect linear predictability of tumor perimeter from geometric inputs.</w:t>
      </w:r>
    </w:p>
    <w:p>
      <w:pPr>
        <w:spacing w:before="280" w:after="120"/>
      </w:pPr>
      <w:r>
        <w:rPr>
          <w:b/>
          <w:color w:val="2B6CB0"/>
          <w:sz w:val="30"/>
        </w:rPr>
        <w:t>9. Results and Discussion</w:t>
      </w:r>
    </w:p>
    <w:p>
      <w:pPr>
        <w:spacing w:after="120"/>
      </w:pPr>
      <w:r>
        <w:t xml:space="preserve">1. </w:t>
      </w:r>
      <w:r>
        <w:rPr>
          <w:b/>
        </w:rPr>
        <w:t>Diagnostic Accuracy:</w:t>
      </w:r>
      <w:r>
        <w:t xml:space="preserve"> Machine learning classifiers achieved up to 99.12% accuracy in detecting breast cancer malignances.</w:t>
      </w:r>
    </w:p>
    <w:p>
      <w:pPr>
        <w:spacing w:after="120"/>
      </w:pPr>
      <w:r>
        <w:t xml:space="preserve">2. </w:t>
      </w:r>
      <w:r>
        <w:rPr>
          <w:b/>
        </w:rPr>
        <w:t>Cluster Separation:</w:t>
      </w:r>
      <w:r>
        <w:t xml:space="preserve"> Unsupervised clustering naturally matched the clinical ground truth classes (Benign vs. Malignant).</w:t>
      </w:r>
    </w:p>
    <w:p>
      <w:pPr>
        <w:spacing w:before="280" w:after="120"/>
      </w:pPr>
      <w:r>
        <w:rPr>
          <w:b/>
          <w:color w:val="2B6CB0"/>
          <w:sz w:val="30"/>
        </w:rPr>
        <w:t>10. Conclusion</w:t>
      </w:r>
    </w:p>
    <w:p>
      <w:pPr>
        <w:pStyle w:val="ListBullet"/>
        <w:spacing w:after="60"/>
      </w:pPr>
      <w:r/>
      <w:r>
        <w:rPr>
          <w:b/>
        </w:rPr>
        <w:t>Learnings:</w:t>
      </w:r>
      <w:r>
        <w:t xml:space="preserve"> Medical image feature extraction provides strong predictive capability for diagnostic ML models.</w:t>
      </w:r>
    </w:p>
    <w:p>
      <w:pPr>
        <w:pStyle w:val="ListBullet"/>
        <w:spacing w:after="60"/>
      </w:pPr>
      <w:r/>
      <w:r>
        <w:rPr>
          <w:b/>
        </w:rPr>
        <w:t>Future Improvements:</w:t>
      </w:r>
      <w:r>
        <w:t xml:space="preserve"> Integrate deep learning convolutional neural networks (CNN) directly on raw histopathology images.</w:t>
      </w:r>
    </w:p>
    <w:p>
      <w:pPr>
        <w:spacing w:before="280" w:after="120"/>
      </w:pPr>
      <w:r>
        <w:rPr>
          <w:b/>
          <w:color w:val="2B6CB0"/>
          <w:sz w:val="30"/>
        </w:rPr>
        <w:t>11. References</w:t>
      </w:r>
    </w:p>
    <w:p>
      <w:pPr>
        <w:spacing w:after="120"/>
      </w:pPr>
      <w:r>
        <w:t>1. Kaggle Breast Cancer Dataset: [https://www.kaggle.com/datasets/mehmetisik/breast-cancercsv](https://www.kaggle.com/datasets/mehmetisik/breast-cancercsv)</w:t>
      </w:r>
    </w:p>
    <w:p>
      <w:pPr>
        <w:spacing w:after="120"/>
      </w:pPr>
      <w:r>
        <w:t xml:space="preserve">2. Street, W. N., Wolberg, W. H., &amp; Mangasarian, O. L. (1993). </w:t>
      </w:r>
      <w:r>
        <w:rPr>
          <w:i/>
        </w:rPr>
        <w:t>Nuclear feature extraction for breast tumor diagnosis</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