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ПРОТОКОЛ  </w:t>
      </w:r>
    </w:p>
    <w:p>
      <w:pPr>
        <w:pStyle w:val="Normal"/>
        <w:jc w:val="center"/>
        <w:rPr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соответствия результатов выполненных работ по состоянию на 29.01.20 по контракту №0860200000819010452_304191 на</w:t>
      </w:r>
      <w:bookmarkStart w:id="0" w:name="__DdeLink__1450_718300258"/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оказание услуг по модернизации автоматизированной информационной системы «Летний отдых детей» (АИС ЛОД) </w:t>
      </w:r>
      <w:bookmarkEnd w:id="0"/>
      <w:r>
        <w:rPr>
          <w:rFonts w:ascii="Times New Roman" w:hAnsi="Times New Roman"/>
          <w:b w:val="false"/>
          <w:bCs w:val="false"/>
          <w:sz w:val="28"/>
          <w:szCs w:val="28"/>
          <w:lang w:val="ru-RU" w:eastAsia="ar-SA"/>
        </w:rPr>
        <w:t>требованиям технического задания.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tbl>
      <w:tblPr>
        <w:tblW w:w="99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  <w:shd w:fill="auto" w:val="clear"/>
          </w:tcPr>
          <w:p>
            <w:pPr>
              <w:pStyle w:val="Normal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>г. Саратов</w:t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февраля 2020 г.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539"/>
        <w:gridCol w:w="4017"/>
        <w:gridCol w:w="4416"/>
      </w:tblGrid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№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пункта ТЗ</w:t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Требование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Результат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Актуализацию версии Вида Сведений приема заявлений обеспечивает Исполнитель. Регистрацию обновленного Вида сведений в тестовой и продуктивной средах обеспечивает Заказчик.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ходе работы выяснилось, что </w:t>
            </w:r>
            <w:r>
              <w:rPr>
                <w:rFonts w:ascii="Times New Roman" w:hAnsi="Times New Roman"/>
                <w:sz w:val="28"/>
                <w:szCs w:val="28"/>
              </w:rPr>
              <w:t>для выполнения требований ТЗ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необходимо проводить обновление Вида Сведений. Проект новой версии ВС был разработан,  актуализация до конца проведена не была, т.к. сопутствующая документация СМЭВ не покрывала некоторые частные случаи, допускала неясности в отношении типов маршрутизаций (версия 3.5) и вместе с недостатком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у исполнителя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практического опыта работы со СМЭВ это привело к </w:t>
            </w:r>
            <w:r>
              <w:rPr>
                <w:rFonts w:ascii="Times New Roman" w:hAnsi="Times New Roman"/>
                <w:sz w:val="28"/>
                <w:szCs w:val="28"/>
              </w:rPr>
              <w:t>задержкам в работе по вине третьей стороны (Ситуационный Центр Минкомсвязи РФ).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eastAsia="Calibri"/>
                <w:sz w:val="28"/>
                <w:szCs w:val="28"/>
                <w:lang w:val="ru-RU" w:eastAsia="en-US"/>
              </w:rPr>
            </w:pPr>
            <w:r>
              <w:rPr>
                <w:rFonts w:eastAsia="Calibri" w:ascii="Times New Roman" w:hAnsi="Times New Roman"/>
                <w:sz w:val="28"/>
                <w:szCs w:val="28"/>
                <w:lang w:val="ru-RU" w:eastAsia="en-US"/>
              </w:rPr>
              <w:t>По результатам оказания услуг Исполнитель предоставляет Заказчику право на использование ранее установленного программного обеспечения в расширенном объеме, с учетом поведенной модернизации Системы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eastAsia="Calibri" w:ascii="Times New Roman" w:hAnsi="Times New Roman"/>
                <w:sz w:val="28"/>
                <w:szCs w:val="28"/>
                <w:lang w:val="ru-RU" w:eastAsia="en-US"/>
              </w:rPr>
              <w:t xml:space="preserve">Предоставлено такое право. Ранее установленное программное обеспечение подверглось критике с моей стороны, и в виду своего собственного убеждения в том, что инженер не должен работать с программой основываясь лишь на выводах, сделанных на основе наблюдений </w:t>
            </w:r>
            <w:r>
              <w:rPr>
                <w:rFonts w:eastAsia="Calibri" w:ascii="Times New Roman" w:hAnsi="Times New Roman"/>
                <w:sz w:val="28"/>
                <w:szCs w:val="28"/>
                <w:lang w:val="ru-RU" w:eastAsia="en-US"/>
              </w:rPr>
              <w:t>(только на наблюдениях, т.к. инструкции не было)</w:t>
            </w:r>
            <w:r>
              <w:rPr>
                <w:rFonts w:eastAsia="Calibri" w:ascii="Times New Roman" w:hAnsi="Times New Roman"/>
                <w:sz w:val="28"/>
                <w:szCs w:val="28"/>
                <w:lang w:val="ru-RU" w:eastAsia="en-US"/>
              </w:rPr>
              <w:t xml:space="preserve">, я принял решение, на свой страх и риск, полностью заменить набор программного обеспечения, который обеспечивал работу модернизируемой АИС ЛОД, вместе с АИС ЛОД на предоставленном для этого компьютере. Кроме того, ранее установленное программное обеспечение не прошло самый примитивный тест на перезагрузку комьютера. В связи с этим, а также в связи с избытком процессов, неизвестного мне (сомнительного) назначения. При желании, предыдущую систему можно восстановить в том виде, в котором она была предоставлена к модернизации с помощью носителя, который был оставлен </w:t>
            </w:r>
            <w:r>
              <w:rPr>
                <w:rFonts w:eastAsia="Calibri" w:ascii="Times New Roman" w:hAnsi="Times New Roman"/>
                <w:sz w:val="28"/>
                <w:szCs w:val="28"/>
                <w:lang w:val="ru-RU" w:eastAsia="en-US"/>
              </w:rPr>
              <w:t>исполнителем</w:t>
            </w:r>
            <w:r>
              <w:rPr>
                <w:rFonts w:eastAsia="Calibri" w:ascii="Times New Roman" w:hAnsi="Times New Roman"/>
                <w:sz w:val="28"/>
                <w:szCs w:val="28"/>
                <w:lang w:val="ru-RU" w:eastAsia="en-US"/>
              </w:rPr>
              <w:t xml:space="preserve"> заказчику.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3.1</w:t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 обеспечение централизованного управления учетными записями пользователей на основе единого решения;</w:t>
            </w:r>
          </w:p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 обеспечение идентификации и аутентификации пользователей на основе различных идентификационных механизмов, в том числе учетной записи;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Авторизация при помощи учетной записи ЕПГУ и/или СЭУ не требовалась, про Электронную Цифровую Подпись ни слова.</w:t>
            </w:r>
          </w:p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Сделал «по стандарту». Ключ в Cookies, который обновляется с каждым запросом, который не виден extension`ам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браузера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благодаря флажку httpOnly, и который, при перехвате и использовании третьей стороной «викидывает» пользователя, у которого ключ перехватили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 страницу авторизации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 журналирование основных действий пользователя;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Реализовано.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 управление доступом пользователей на базе механизма назначения пользователям ролей;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 роли:</w:t>
            </w:r>
          </w:p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 «Администратор» с полными правами;</w:t>
            </w:r>
          </w:p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 «Ответственный» с правами, ограниченными его структурным подразделением;</w:t>
            </w:r>
          </w:p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 «Оператор» который может принять заявление, посмотреть номер в очереди, причину отказа и прочее (в рамках подразделения);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 проверку прав пользователя при выполнении различных операций;</w:t>
            </w:r>
          </w:p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 предоставление возможности назначения ролей и предоставления доступа пользователям системы.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Реализовано.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3.2</w:t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 прием заявлений на предоставление услуги «Постановка на учет и предоставление мест для детей в муниципальных организациях отдыха детей и их оздоровления» (при личном приеме граждан, с портала ЕПГУ);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Реализовано (ЕПГУ не готово).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 пошаговое выполнение процесса оказания услуги с вводом и сохранением данных (информации, документов), относящихся к заявлению;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Реализовано.</w:t>
            </w:r>
          </w:p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Черновики есть только у пользователя с ролью «оператор».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 отправку межведомственных запросов, предусмотренных процессом оказания услуги;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ЕПГУ не готово.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 передачу результатов оказания услуги на ЕПГУ и/или на электронную почту заявителя;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ЕПГУ не готово. Почтовый ящик у ответсвтвенного за исполнение контракта я не допросился (так же как адреса сервера синхронизации времени и Domain Name System сервера)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 прием заявления на получение статуса обработки процесса оказания услуги и номера в очереди;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Реализовано.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 создание или изменение имеющихся записей реестров сведений, связанных с результатами оказания услуги.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Реализовано. Создание автоматическое. Без возможности изменения записей о результатах оказания услуги.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Пользовательский интерфейс модуля оказания услуг должен быть по итогам модернизации реализован аналогично интерфейсу СЭУ.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Реализовано.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Наборы полей формы подачи заявки, структура процессов оказания услуг, перечень межведомственных запросов и формы исходящих документов определяются, но не ограничиваются, административными регламентами услуг.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Можно увидеть в этом намек на то, что поля формы, шаблоны документов и межведомственные запросы должны редактироваться. Предусмотрел гибкую структуру кода для модификации в этом направлении.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3.2.1</w:t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Необходимо обеспечить возможность внесения следующих атрибутов заявления на оказание услуги (входные данные заявления) при личном приеме заявителя:</w:t>
            </w:r>
          </w:p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(*блоки и поля формы*)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Реализовано.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При работе с заявлениями должно быть предусмотрено следующее:</w:t>
            </w:r>
          </w:p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2. Информирование заявителей о статусе обработки заявления через ЕПГУ;</w:t>
            </w:r>
          </w:p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3. Получение сообщений от заявителя для отработки возникающих вопросов по процессу получения услуги из ЕПГУ, ввод и отправка ответов на них;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ЕПГУ не готово.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4. Печать заполненного заявления из системы для заявителя.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Реализовано.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3.2.2</w:t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Процесс оказания услуги по организации отдыха детей должен осуществляться по этапам, представленным на Схеме 1.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 схеме. ЕПГУ не готово.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3.2.3</w:t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Необходимо реализовать процесс комплектования, распределения сертификатов по утвержденным заявлениям последовательно из очереди заявлений (статус «В очереди») на основании предпочтительного лагеря и смены (если указано), а также учитывая признак согласия на получение сертификата в другом лагере в случае отсутствия свободных мест в предпочтительном лагере.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Реализовал в соответствии с приведенным алгоритмом.</w:t>
            </w:r>
          </w:p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особенности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</w:p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 до окончания срока подачи в текущем периоде выполнить комплектование нельзя;</w:t>
            </w:r>
          </w:p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- при одновременном нажатии на кнопку «комплектование»,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заявления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будут распределятся по свободным местам для отдыха только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один раз и всем покажет один результат (на NodeJS я бы такого не сделал, наверное);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При повторном комплектовании «зарезервированные места» могут измениться в зависимости от очереди новых заявлений. Если у нового заявления порядковый номер очереди выше уже зарезервированных, то должен вытесняться последний распределенный сертификат.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Комлектование проводиться один раз (и точка), в период, когда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закончен прием заявлений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 итогам модернизации должен быть реализована возможность предварительного комплектования без изменений статусов заявлений и распределения сертификатов. Результатом предварительного комплектования должен быть отчет о количестве заявлений в очереди, количестве свободных сертификатов по лагерям, сменам, заездам, а также прогнозная информация о результатах комплектования (заполнение лагерей, количество нераспределенных заявлений, количество заявлений требующих ручного подтверждения).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Кнопку «ПРОГНОЗ» не сделал, оставил на уточнение, НА ПОТОМ. Но количественные показатели, в т.ч. по лагерям и сменам, применяются в итоговом комплектовании.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3.2.4</w:t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Необходимо реализовать получение и обработку запроса статуса заявления, полученного с ЕПГУ и при личном приеме заявителя. По запросу будет выполняться поиск первичного заявления на оказание услуги по организации отдыха детей (разделы 2.2.1 и 2.2.2) и возвращаться статус заявления.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ЕПГУ не готово.</w:t>
            </w:r>
          </w:p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Текущий статус, номер в очереди, а так же всю историю обработки заявления посмотреть возможность есть.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Если заявление в процессе комплектования, то необходимо передавать статус «Услуга оказана» с комментарием «В очереди», номер в очереди, наименование лагеря, смены и заезда, в которую планируется распределение.</w:t>
            </w:r>
          </w:p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Если место отдыха предоставлено, то необходимо передавать статус «Услуга оказана», наименование лагеря, смены и заезда, в которую произошло распределение.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bookmarkStart w:id="1" w:name="__DdeLink__549_2186019439"/>
            <w:r>
              <w:rPr>
                <w:rFonts w:ascii="Times New Roman" w:hAnsi="Times New Roman"/>
                <w:sz w:val="28"/>
                <w:szCs w:val="28"/>
                <w:lang w:val="ru-RU"/>
              </w:rPr>
              <w:t>ЕПГУ не готово.</w:t>
            </w:r>
            <w:bookmarkEnd w:id="1"/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3.3</w:t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Модуль централизованного учета и хранения данных должен обеспечивать единый механизм формирования структуры реестров.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Емкая фраза. Формированием структуры реестров в представленном частном случае занимается программист и закладывает в основу приложения. Если заказчик хочет гибкий механизм редактирования служебных справочников, то нужно обозначить для этой функции область её применения. Иначе можно реализовать создание таблиц, не задействованных в рабочем процессе и выглядеть это будет не очень клёво.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При работе с услугой «Постановка на учет и предоставление мест для детей в муниципальных организациях отдыха детей и их оздоровления» должно предусматриваться ведение реестров:</w:t>
            </w:r>
          </w:p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 реестр поступивших с ЕПГУ заявлений</w:t>
            </w:r>
          </w:p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 Очередь на получение сертификатов (данные из заявления)</w:t>
            </w:r>
          </w:p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 Реестр сертификатов на летний отдых детей (запись в процессе распределения)</w:t>
            </w:r>
          </w:p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- Реестр организаций отдыха детей</w:t>
            </w:r>
          </w:p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Статус во всех реестрах должен содержать информацию о текущем состоянии заявления с указанием даты и времени наступления события, а также информацию о всех предыдущих состояниях.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Реализовано.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Также при работе с услугой «Постановка на учет и предоставление мест для детей в муниципальных организациях отдыха детей и их оздоровления» необходимо предусмотреть ведение справочников:</w:t>
            </w:r>
          </w:p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●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Список льготных категорий ребенка или семьи;</w:t>
            </w:r>
          </w:p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●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Список учебных заведений Саратовской области и районов их расположения;</w:t>
            </w:r>
          </w:p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●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Типы документов, подтверждающие получение льготы.</w:t>
            </w:r>
          </w:p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 Системе должны быть обеспечены следующие возможности для работы со справочниками:</w:t>
            </w:r>
          </w:p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создание, редактирование, удаление записей справочников;</w:t>
            </w:r>
          </w:p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●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возможность автоматизированного наполнения справочников посредством импорта данных из файла предопределенного формата;</w:t>
            </w:r>
          </w:p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●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просмотр списка справочников;</w:t>
            </w:r>
          </w:p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●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просмотр записей справочника;</w:t>
            </w:r>
          </w:p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●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поиск справочников и записей справочников.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Реализовано. (сделать сортировку табличек и поиск не успел)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●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создание, редактирование, удаление справочников;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см. п. 3.3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3.4</w:t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Модуль администрирования должен выполнять следующие функции:</w:t>
            </w:r>
          </w:p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● </w:t>
            </w:r>
            <w:r>
              <w:rPr>
                <w:rFonts w:ascii="Times New Roman" w:hAnsi="Times New Roman"/>
                <w:sz w:val="28"/>
                <w:szCs w:val="28"/>
              </w:rPr>
              <w:t>ведение реестра подключенных структурных подразделений органа исполнительной власти;</w:t>
            </w:r>
          </w:p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● </w:t>
            </w:r>
            <w:r>
              <w:rPr>
                <w:rFonts w:ascii="Times New Roman" w:hAnsi="Times New Roman"/>
                <w:sz w:val="28"/>
                <w:szCs w:val="28"/>
              </w:rPr>
              <w:t>возможность создания, просмотра, редактирования, удаления учетных записей пользователей.</w:t>
            </w:r>
          </w:p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Права пользователей в системе необходимо определять назначением ролей. Каждая системная роль обладает определенным набором прав.</w:t>
            </w:r>
          </w:p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● </w:t>
            </w:r>
            <w:r>
              <w:rPr>
                <w:rFonts w:ascii="Times New Roman" w:hAnsi="Times New Roman"/>
                <w:sz w:val="28"/>
                <w:szCs w:val="28"/>
              </w:rPr>
              <w:t>конфигурирование глобальных параметров системы;</w:t>
            </w:r>
          </w:p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● </w:t>
            </w:r>
            <w:r>
              <w:rPr>
                <w:rFonts w:ascii="Times New Roman" w:hAnsi="Times New Roman"/>
                <w:sz w:val="28"/>
                <w:szCs w:val="28"/>
              </w:rPr>
              <w:t>назначение прав доступа пользователям на отдельные компоненты системы;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Реализовано. (под глобальными параметрами подразумеваю только период приема заявлений, который становится активным автоматически, по времени сервера)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● </w:t>
            </w:r>
            <w:r>
              <w:rPr>
                <w:rFonts w:ascii="Times New Roman" w:hAnsi="Times New Roman"/>
                <w:sz w:val="28"/>
                <w:szCs w:val="28"/>
              </w:rPr>
              <w:t>изменение уровня доступа ролей к функциям системы;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Я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«гнал как угорелый и без страховки срезал углы».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 торопях делать не стал, оставил на потом, с готовностью заплатить неустойку.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● </w:t>
            </w:r>
            <w:r>
              <w:rPr>
                <w:rFonts w:ascii="Times New Roman" w:hAnsi="Times New Roman"/>
                <w:sz w:val="28"/>
                <w:szCs w:val="28"/>
              </w:rPr>
              <w:t>ведение универсального реестра классификаторов с поддержкой добавления, модификации, удаления и формирования записей справочника.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Я забыл спросить у заказчика что такое классификатор.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входе в систему необходимо производить идентификацию и проверку подлинности учетных записей пользователей.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Реализовано.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3.5</w:t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Интерактивные портальные формы Услуг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ЧТЗ было разработано в сроки, указанные в пункте 3.5.3 технического задания. ЕПГУ не готово.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2 (котор</w:t>
            </w:r>
            <w:r>
              <w:rPr>
                <w:rFonts w:ascii="Times New Roman" w:hAnsi="Times New Roman"/>
                <w:sz w:val="28"/>
                <w:szCs w:val="28"/>
              </w:rPr>
              <w:t>ый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после 3)</w:t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ТРЕБОВАНИЯ К ДОКУМЕНТИРОВАНИЮ</w:t>
            </w:r>
          </w:p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Документация, изложенная в текущем разделе, должна разрабатываться с учетом требований Постановления Правительства Российской Федерации от 6 июля 2015 года No 676 «О требованиях к порядку создания, развития, ввода в эксплуатацию, эксплуатации и вывода из эксплуатации государственных информационных систем, и дальнейшего хранения содержащейся в их базах данных информации», а также требований комплекса государственных стандартов «Информационная технология. Комплекс стандартов на автоматизированные системы»:</w:t>
            </w:r>
          </w:p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ГОСТ 34.601-90 «Автоматизированные системы. Стадии создания»;</w:t>
            </w:r>
          </w:p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ГОСТ 34.003-90 «Автоматизированные системы. Термины и определения»;</w:t>
            </w:r>
          </w:p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ГОСТ 34.602-89 «Техническое задание на создание автоматизированной системы»;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Представленные ГОСТы хорошо мне известны, личных разногласий никогда не вызывали. В виду того, что они обобщены настолько, насколько это возможно (а что из этого не относиться к любой информационной системе?) - считаю, что результат соответствует приведенным стандартам.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ГОСТ 34.201-89 «Виды, комплектность и обозначение документов при создании автоматизированных систем»;</w:t>
            </w:r>
          </w:p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ГОСТ 34.603-92 «Виды испытаний автоматизированных систем»;</w:t>
            </w:r>
          </w:p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ГОСТ 19.301-79 «Программа и методика испытаний. Требования к содержанию и оформлению»;</w:t>
            </w:r>
          </w:p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ГОСТ 2.601-2013 «ЕСКД. Эксплуатационные документы»;</w:t>
            </w:r>
          </w:p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ГОСТ 2.106-96 «ЕСКД. Текстовые документы»;</w:t>
            </w:r>
          </w:p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ГОСТ 2.120-2013 «ЕСКД. Технический проект»;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Соответствие государственным стандартам на сопутствующую документацию назову на уровне «Имел в виду общие принципы, а заголовки лучше сам придумаю». Та документация, что составляется для инженеров, не была подготовлена должным образом, в целях экономии временных ресуров.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ГОСТ Р 52872-2012 «Интернет-ресурсы. Требования доступности для инвалидов по зрению».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Страницы не превышают 2-3 рабочих экрана, ссылок не больше 15 на одном экране. Большого значения не придал.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Исполнитель предоставляет Заказчику документацию в бумажном виде в 1 (одном) экземпляре и в</w:t>
            </w:r>
          </w:p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электронном виде (на оптическом CD или DVD носителе) в формате doc и pdf (для документации</w:t>
            </w:r>
          </w:p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требующей утверждения, подписания).</w:t>
            </w:r>
          </w:p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Состав документации, разрабатываемой и предоставляемой Исполнителем, в рамках оказания услуг</w:t>
            </w:r>
          </w:p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модернизации АИС ЛОД:</w:t>
            </w:r>
          </w:p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руководство пользователя;</w:t>
            </w:r>
          </w:p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руководство администратора;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Руководства пользователей с ролью «Администратор», «Ответственный» и «Оператор» предоставил.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ведомость проведения обучающего семинара в целях ознакомления с модернизированной АИС ЛОД;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Обучающего семинара проведено не было.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программа и методика предварительных комплексных испытаний;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Составил краткий документ, по которому можно испытать всю систему в комплексе.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протокол предварительных комплексных испытаний;</w:t>
            </w:r>
          </w:p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акт о приемке в опытную эксплуатацию;</w:t>
            </w:r>
          </w:p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программа и методика опытной эксплуатации;</w:t>
            </w:r>
          </w:p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акт о завершении опытной эксплуатации;</w:t>
            </w:r>
          </w:p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программа и методика приемочных испытаний;</w:t>
            </w:r>
          </w:p>
          <w:p>
            <w:pPr>
              <w:pStyle w:val="Normal"/>
              <w:suppressAutoHyphens w:val="true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- акт о приемке в эксплуатацию;</w:t>
            </w:r>
          </w:p>
          <w:p>
            <w:pPr>
              <w:pStyle w:val="Normal"/>
              <w:suppressAutoHyphens w:val="true"/>
              <w:spacing w:lineRule="auto" w:line="276" w:before="0" w:after="200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- акт сдачи-приемки оказанных услуг.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виду сложившейся ситуации и ограниченных временных ресурсов составлять эту документацию не </w:t>
            </w:r>
            <w:r>
              <w:rPr>
                <w:rFonts w:ascii="Times New Roman" w:hAnsi="Times New Roman"/>
                <w:sz w:val="28"/>
                <w:szCs w:val="28"/>
              </w:rPr>
              <w:t>пришлось</w:t>
            </w:r>
            <w:r>
              <w:rPr>
                <w:rFonts w:ascii="Times New Roman" w:hAnsi="Times New Roman"/>
                <w:sz w:val="28"/>
                <w:szCs w:val="28"/>
              </w:rPr>
              <w:t>. Постеснялся представить на подпись, т.к. ЕПГУ не готово.</w:t>
            </w:r>
          </w:p>
        </w:tc>
      </w:tr>
      <w:tr>
        <w:trPr/>
        <w:tc>
          <w:tcPr>
            <w:tcW w:w="1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ПОРЯДОК КОНТРОЛЯ И ПРИЕМКИ</w:t>
            </w:r>
          </w:p>
        </w:tc>
        <w:tc>
          <w:tcPr>
            <w:tcW w:w="4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uppressAutoHyphens w:val="true"/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Считаю, что полностью нарушен.</w:t>
            </w:r>
          </w:p>
        </w:tc>
      </w:tr>
    </w:tbl>
    <w:p>
      <w:pPr>
        <w:pStyle w:val="Normal"/>
        <w:ind w:left="0" w:right="0" w:firstLine="72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ind w:left="0" w:right="0" w:firstLine="72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ind w:left="0" w:right="0" w:firstLine="720"/>
        <w:jc w:val="right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_______________ /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Глушков А.П.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/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242</TotalTime>
  <Application>LibreOffice/6.0.7.3$Linux_X86_64 LibreOffice_project/00m0$Build-3</Application>
  <Pages>14</Pages>
  <Words>1839</Words>
  <Characters>12667</Characters>
  <CharactersWithSpaces>14354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2017-01-01T14:28:30Z</dcterms:created>
  <dc:creator/>
  <dc:description/>
  <dc:language>en-US</dc:language>
  <cp:lastModifiedBy/>
  <dcterms:modified xsi:type="dcterms:W3CDTF">2020-02-08T23:42:18Z</dcterms:modified>
  <cp:revision>21</cp:revision>
  <dc:subject/>
  <dc:title/>
</cp:coreProperties>
</file>