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ПРОТОКОЛ РАЗНОГЛАСИЙ</w:t>
      </w:r>
    </w:p>
    <w:p>
      <w:pPr>
        <w:pStyle w:val="Normal"/>
        <w:jc w:val="center"/>
        <w:rPr>
          <w:b/>
          <w:b/>
          <w:bCs/>
          <w:sz w:val="28"/>
          <w:szCs w:val="28"/>
        </w:rPr>
      </w:pPr>
      <w:r>
        <w:rPr>
          <w:b/>
          <w:bCs/>
          <w:sz w:val="28"/>
          <w:szCs w:val="28"/>
        </w:rPr>
      </w:r>
    </w:p>
    <w:p>
      <w:pPr>
        <w:pStyle w:val="Normal"/>
        <w:jc w:val="center"/>
        <w:rPr>
          <w:b w:val="false"/>
          <w:b w:val="false"/>
          <w:bCs w:val="false"/>
          <w:sz w:val="28"/>
          <w:szCs w:val="28"/>
        </w:rPr>
      </w:pPr>
      <w:r>
        <w:rPr>
          <w:b w:val="false"/>
          <w:bCs w:val="false"/>
          <w:sz w:val="28"/>
          <w:szCs w:val="28"/>
        </w:rPr>
        <w:t xml:space="preserve">к контракту </w:t>
      </w:r>
      <w:bookmarkStart w:id="0" w:name="__DdeLink__1450_718300258"/>
      <w:r>
        <w:rPr>
          <w:b w:val="false"/>
          <w:bCs w:val="false"/>
          <w:sz w:val="28"/>
          <w:szCs w:val="28"/>
        </w:rPr>
        <w:t xml:space="preserve">на оказание услуг по модернизации автоматизированной информационной системы «Летний отдых детей» (АИС ЛОД) </w:t>
      </w:r>
      <w:bookmarkEnd w:id="0"/>
      <w:r>
        <w:rPr>
          <w:b w:val="false"/>
          <w:bCs w:val="false"/>
          <w:sz w:val="28"/>
          <w:szCs w:val="28"/>
        </w:rPr>
        <w:t>по результатам электронного аукциона №</w:t>
      </w:r>
      <w:r>
        <w:rPr>
          <w:b w:val="false"/>
          <w:bCs w:val="false"/>
          <w:sz w:val="28"/>
          <w:szCs w:val="28"/>
          <w:lang w:eastAsia="ar-SA"/>
        </w:rPr>
        <w:t>0860200000819010452</w:t>
      </w:r>
    </w:p>
    <w:p>
      <w:pPr>
        <w:pStyle w:val="Normal"/>
        <w:jc w:val="center"/>
        <w:rPr>
          <w:b w:val="false"/>
          <w:b w:val="false"/>
          <w:bCs w:val="false"/>
          <w:sz w:val="28"/>
          <w:szCs w:val="28"/>
        </w:rPr>
      </w:pPr>
      <w:r>
        <w:rPr>
          <w:b w:val="false"/>
          <w:bCs w:val="false"/>
          <w:sz w:val="28"/>
          <w:szCs w:val="28"/>
        </w:rPr>
      </w:r>
    </w:p>
    <w:tbl>
      <w:tblPr>
        <w:tblW w:w="9972" w:type="dxa"/>
        <w:jc w:val="left"/>
        <w:tblInd w:w="0" w:type="dxa"/>
        <w:tblBorders/>
        <w:tblCellMar>
          <w:top w:w="55" w:type="dxa"/>
          <w:left w:w="55" w:type="dxa"/>
          <w:bottom w:w="55" w:type="dxa"/>
          <w:right w:w="55" w:type="dxa"/>
        </w:tblCellMar>
      </w:tblPr>
      <w:tblGrid>
        <w:gridCol w:w="4986"/>
        <w:gridCol w:w="4986"/>
      </w:tblGrid>
      <w:tr>
        <w:trPr/>
        <w:tc>
          <w:tcPr>
            <w:tcW w:w="4986" w:type="dxa"/>
            <w:tcBorders/>
            <w:shd w:fill="auto" w:val="clear"/>
          </w:tcPr>
          <w:p>
            <w:pPr>
              <w:pStyle w:val="Normal"/>
              <w:jc w:val="left"/>
              <w:rPr>
                <w:b w:val="false"/>
                <w:b w:val="false"/>
                <w:bCs w:val="false"/>
                <w:sz w:val="28"/>
                <w:szCs w:val="28"/>
              </w:rPr>
            </w:pPr>
            <w:r>
              <w:rPr>
                <w:b w:val="false"/>
                <w:bCs w:val="false"/>
                <w:sz w:val="28"/>
                <w:szCs w:val="28"/>
              </w:rPr>
              <w:t>г. Екатеринбург</w:t>
            </w:r>
          </w:p>
        </w:tc>
        <w:tc>
          <w:tcPr>
            <w:tcW w:w="4986" w:type="dxa"/>
            <w:tcBorders/>
            <w:shd w:fill="auto" w:val="clear"/>
          </w:tcPr>
          <w:p>
            <w:pPr>
              <w:pStyle w:val="TableContents"/>
              <w:jc w:val="right"/>
              <w:rPr>
                <w:sz w:val="28"/>
                <w:szCs w:val="28"/>
              </w:rPr>
            </w:pPr>
            <w:r>
              <w:rPr>
                <w:sz w:val="28"/>
                <w:szCs w:val="28"/>
              </w:rPr>
              <w:t>5 ноября 2019 г.</w:t>
            </w:r>
          </w:p>
        </w:tc>
      </w:tr>
    </w:tbl>
    <w:p>
      <w:pPr>
        <w:pStyle w:val="Normal"/>
        <w:jc w:val="center"/>
        <w:rPr>
          <w:b w:val="false"/>
          <w:b w:val="false"/>
          <w:bCs w:val="false"/>
          <w:sz w:val="28"/>
          <w:szCs w:val="28"/>
        </w:rPr>
      </w:pPr>
      <w:r>
        <w:rPr>
          <w:b w:val="false"/>
          <w:bCs w:val="false"/>
          <w:sz w:val="28"/>
          <w:szCs w:val="28"/>
        </w:rPr>
      </w:r>
    </w:p>
    <w:p>
      <w:pPr>
        <w:pStyle w:val="Normal"/>
        <w:jc w:val="center"/>
        <w:rPr>
          <w:b w:val="false"/>
          <w:b w:val="false"/>
          <w:bCs w:val="false"/>
          <w:sz w:val="28"/>
          <w:szCs w:val="28"/>
        </w:rPr>
      </w:pPr>
      <w:r>
        <w:rPr>
          <w:b w:val="false"/>
          <w:bCs w:val="false"/>
          <w:sz w:val="28"/>
          <w:szCs w:val="28"/>
        </w:rPr>
      </w:r>
    </w:p>
    <w:p>
      <w:pPr>
        <w:pStyle w:val="Normal"/>
        <w:ind w:left="0" w:right="0" w:firstLine="720"/>
        <w:jc w:val="both"/>
        <w:rPr>
          <w:b w:val="false"/>
          <w:b w:val="false"/>
          <w:bCs w:val="false"/>
          <w:sz w:val="28"/>
          <w:szCs w:val="28"/>
        </w:rPr>
      </w:pPr>
      <w:r>
        <w:rPr>
          <w:b w:val="false"/>
          <w:bCs w:val="false"/>
          <w:sz w:val="28"/>
          <w:szCs w:val="28"/>
        </w:rPr>
        <w:t>5 ноября 2019 г. на электронной площадке “Единая электронная торговая площадка” был опубликован проект контракта на оказание услуг по модернизации автоматизированной информационной системы «Летний отдых детей» (АИС ЛОД). ИП Глушков Александр Петрович, изучив проект контракта, просит на основании ч. 4 ст. 83.2 44-ФЗ внести в проект контракта следующие изменения:</w:t>
      </w:r>
    </w:p>
    <w:p>
      <w:pPr>
        <w:pStyle w:val="Normal"/>
        <w:ind w:left="0" w:right="0" w:firstLine="720"/>
        <w:jc w:val="both"/>
        <w:rPr>
          <w:b w:val="false"/>
          <w:b w:val="false"/>
          <w:bCs w:val="false"/>
          <w:sz w:val="28"/>
          <w:szCs w:val="28"/>
        </w:rPr>
      </w:pPr>
      <w:r>
        <w:rPr>
          <w:b w:val="false"/>
          <w:bCs w:val="false"/>
          <w:sz w:val="28"/>
          <w:szCs w:val="28"/>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64"/>
        <w:gridCol w:w="2700"/>
        <w:gridCol w:w="2615"/>
        <w:gridCol w:w="2493"/>
      </w:tblGrid>
      <w:tr>
        <w:trPr/>
        <w:tc>
          <w:tcPr>
            <w:tcW w:w="216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sz w:val="28"/>
                <w:szCs w:val="28"/>
              </w:rPr>
            </w:pPr>
            <w:r>
              <w:rPr>
                <w:sz w:val="28"/>
                <w:szCs w:val="28"/>
              </w:rPr>
              <w:t xml:space="preserve">№ </w:t>
            </w:r>
            <w:r>
              <w:rPr>
                <w:sz w:val="28"/>
                <w:szCs w:val="28"/>
              </w:rPr>
              <w:t>пункта проекта контракта</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sz w:val="28"/>
                <w:szCs w:val="28"/>
              </w:rPr>
            </w:pPr>
            <w:r>
              <w:rPr>
                <w:sz w:val="28"/>
                <w:szCs w:val="28"/>
              </w:rPr>
              <w:t>Редакция заказчика</w:t>
            </w:r>
          </w:p>
        </w:tc>
        <w:tc>
          <w:tcPr>
            <w:tcW w:w="261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sz w:val="28"/>
                <w:szCs w:val="28"/>
              </w:rPr>
            </w:pPr>
            <w:r>
              <w:rPr>
                <w:sz w:val="28"/>
                <w:szCs w:val="28"/>
              </w:rPr>
              <w:t>Редакция исполнителя</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28"/>
                <w:szCs w:val="28"/>
              </w:rPr>
            </w:pPr>
            <w:r>
              <w:rPr>
                <w:sz w:val="28"/>
                <w:szCs w:val="28"/>
              </w:rPr>
              <w:t>Комментарий</w:t>
            </w:r>
          </w:p>
        </w:tc>
      </w:tr>
      <w:tr>
        <w:trPr/>
        <w:tc>
          <w:tcPr>
            <w:tcW w:w="2164" w:type="dxa"/>
            <w:tcBorders>
              <w:left w:val="single" w:sz="2" w:space="0" w:color="000000"/>
              <w:bottom w:val="single" w:sz="2" w:space="0" w:color="000000"/>
              <w:insideH w:val="single" w:sz="2" w:space="0" w:color="000000"/>
            </w:tcBorders>
            <w:shd w:fill="auto" w:val="clear"/>
          </w:tcPr>
          <w:p>
            <w:pPr>
              <w:pStyle w:val="TableContents"/>
              <w:jc w:val="left"/>
              <w:rPr>
                <w:sz w:val="28"/>
                <w:szCs w:val="28"/>
              </w:rPr>
            </w:pPr>
            <w:r>
              <w:rPr>
                <w:sz w:val="28"/>
                <w:szCs w:val="28"/>
              </w:rPr>
              <w:t>Приложение №1, Техническое задание</w:t>
            </w:r>
          </w:p>
          <w:p>
            <w:pPr>
              <w:pStyle w:val="TableContents"/>
              <w:jc w:val="left"/>
              <w:rPr>
                <w:sz w:val="28"/>
                <w:szCs w:val="28"/>
              </w:rPr>
            </w:pPr>
            <w:r>
              <w:rPr>
                <w:sz w:val="28"/>
                <w:szCs w:val="28"/>
              </w:rPr>
              <w:t>6. Порядок контроля и приемки</w:t>
            </w:r>
          </w:p>
        </w:tc>
        <w:tc>
          <w:tcPr>
            <w:tcW w:w="2700" w:type="dxa"/>
            <w:tcBorders>
              <w:left w:val="single" w:sz="2" w:space="0" w:color="000000"/>
              <w:bottom w:val="single" w:sz="2" w:space="0" w:color="000000"/>
              <w:insideH w:val="single" w:sz="2" w:space="0" w:color="000000"/>
            </w:tcBorders>
            <w:shd w:fill="auto" w:val="clear"/>
          </w:tcPr>
          <w:p>
            <w:pPr>
              <w:pStyle w:val="Normal"/>
              <w:suppressAutoHyphens w:val="true"/>
              <w:spacing w:lineRule="auto" w:line="276" w:before="0" w:after="200"/>
              <w:ind w:hanging="0"/>
              <w:jc w:val="left"/>
              <w:rPr>
                <w:sz w:val="28"/>
                <w:szCs w:val="28"/>
              </w:rPr>
            </w:pPr>
            <w:r>
              <w:rPr>
                <w:rFonts w:eastAsia="Calibri"/>
                <w:sz w:val="28"/>
                <w:szCs w:val="28"/>
                <w:lang w:eastAsia="en-US"/>
              </w:rPr>
              <w:t>Продолжительность опытной эксплуатации должна составлять не менее 5 рабочих дней.</w:t>
            </w:r>
          </w:p>
        </w:tc>
        <w:tc>
          <w:tcPr>
            <w:tcW w:w="2615" w:type="dxa"/>
            <w:tcBorders>
              <w:left w:val="single" w:sz="2" w:space="0" w:color="000000"/>
              <w:bottom w:val="single" w:sz="2" w:space="0" w:color="000000"/>
              <w:insideH w:val="single" w:sz="2" w:space="0" w:color="000000"/>
            </w:tcBorders>
            <w:shd w:fill="auto" w:val="clear"/>
          </w:tcPr>
          <w:p>
            <w:pPr>
              <w:pStyle w:val="Normal"/>
              <w:suppressAutoHyphens w:val="true"/>
              <w:spacing w:lineRule="auto" w:line="276" w:before="0" w:after="200"/>
              <w:ind w:hanging="0"/>
              <w:jc w:val="left"/>
              <w:rPr>
                <w:sz w:val="28"/>
                <w:szCs w:val="28"/>
              </w:rPr>
            </w:pPr>
            <w:r>
              <w:rPr>
                <w:rFonts w:eastAsia="Calibri"/>
                <w:sz w:val="28"/>
                <w:szCs w:val="28"/>
                <w:lang w:eastAsia="en-US"/>
              </w:rPr>
              <w:t xml:space="preserve">Продолжительность предварительных комплексных испытаний </w:t>
            </w:r>
            <w:r>
              <w:rPr>
                <w:rFonts w:eastAsia="Calibri"/>
                <w:sz w:val="28"/>
                <w:szCs w:val="28"/>
                <w:lang w:eastAsia="en-US"/>
              </w:rPr>
              <w:t xml:space="preserve">и </w:t>
            </w:r>
            <w:r>
              <w:rPr>
                <w:rFonts w:eastAsia="Calibri"/>
                <w:sz w:val="28"/>
                <w:szCs w:val="28"/>
                <w:lang w:eastAsia="en-US"/>
              </w:rPr>
              <w:t xml:space="preserve">опытной эксплуатации </w:t>
            </w:r>
            <w:r>
              <w:rPr>
                <w:rFonts w:eastAsia="Calibri"/>
                <w:sz w:val="28"/>
                <w:szCs w:val="28"/>
                <w:lang w:eastAsia="en-US"/>
              </w:rPr>
              <w:t xml:space="preserve">в сумме </w:t>
            </w:r>
            <w:r>
              <w:rPr>
                <w:rFonts w:eastAsia="Calibri"/>
                <w:sz w:val="28"/>
                <w:szCs w:val="28"/>
                <w:lang w:eastAsia="en-US"/>
              </w:rPr>
              <w:t>должн</w:t>
            </w:r>
            <w:r>
              <w:rPr>
                <w:rFonts w:eastAsia="Calibri"/>
                <w:sz w:val="28"/>
                <w:szCs w:val="28"/>
                <w:lang w:eastAsia="en-US"/>
              </w:rPr>
              <w:t>ы</w:t>
            </w:r>
            <w:r>
              <w:rPr>
                <w:rFonts w:eastAsia="Calibri"/>
                <w:sz w:val="28"/>
                <w:szCs w:val="28"/>
                <w:lang w:eastAsia="en-US"/>
              </w:rPr>
              <w:t xml:space="preserve"> составлять не </w:t>
            </w:r>
            <w:r>
              <w:rPr>
                <w:rFonts w:eastAsia="Calibri"/>
                <w:sz w:val="28"/>
                <w:szCs w:val="28"/>
                <w:lang w:eastAsia="en-US"/>
              </w:rPr>
              <w:t>бол</w:t>
            </w:r>
            <w:r>
              <w:rPr>
                <w:rFonts w:eastAsia="Calibri"/>
                <w:sz w:val="28"/>
                <w:szCs w:val="28"/>
                <w:lang w:eastAsia="en-US"/>
              </w:rPr>
              <w:t xml:space="preserve">ее </w:t>
            </w:r>
            <w:r>
              <w:rPr>
                <w:rFonts w:eastAsia="Calibri"/>
                <w:sz w:val="28"/>
                <w:szCs w:val="28"/>
                <w:lang w:eastAsia="en-US"/>
              </w:rPr>
              <w:t>7</w:t>
            </w:r>
            <w:r>
              <w:rPr>
                <w:rFonts w:eastAsia="Calibri"/>
                <w:sz w:val="28"/>
                <w:szCs w:val="28"/>
                <w:lang w:eastAsia="en-US"/>
              </w:rPr>
              <w:t xml:space="preserve"> </w:t>
            </w:r>
            <w:r>
              <w:rPr>
                <w:rFonts w:eastAsia="Calibri"/>
                <w:sz w:val="28"/>
                <w:szCs w:val="28"/>
                <w:lang w:eastAsia="en-US"/>
              </w:rPr>
              <w:t>календарных</w:t>
            </w:r>
            <w:r>
              <w:rPr>
                <w:rFonts w:eastAsia="Calibri"/>
                <w:sz w:val="28"/>
                <w:szCs w:val="28"/>
                <w:lang w:eastAsia="en-US"/>
              </w:rPr>
              <w:t xml:space="preserve"> дней.</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28"/>
                <w:szCs w:val="28"/>
              </w:rPr>
            </w:pPr>
            <w:r>
              <w:rPr>
                <w:sz w:val="28"/>
                <w:szCs w:val="28"/>
              </w:rPr>
              <w:t xml:space="preserve">Проводить испытания </w:t>
            </w:r>
            <w:r>
              <w:rPr>
                <w:sz w:val="28"/>
                <w:szCs w:val="28"/>
              </w:rPr>
              <w:t>одной</w:t>
            </w:r>
            <w:r>
              <w:rPr>
                <w:sz w:val="28"/>
                <w:szCs w:val="28"/>
              </w:rPr>
              <w:t xml:space="preserve"> интерактивной формы на стенде не менее 5 дней не адекватное условие. К тому же, оператору ЕПГУ </w:t>
            </w:r>
            <w:r>
              <w:rPr>
                <w:sz w:val="28"/>
                <w:szCs w:val="28"/>
              </w:rPr>
              <w:t>в соответсвии с п.19 “Порядка разработки и размещения интерактивных форм заявлений..</w:t>
            </w:r>
            <w:r>
              <w:rPr>
                <w:sz w:val="28"/>
                <w:szCs w:val="28"/>
              </w:rPr>
              <w:t xml:space="preserve">” </w:t>
            </w:r>
            <w:r>
              <w:rPr>
                <w:sz w:val="28"/>
                <w:szCs w:val="28"/>
              </w:rPr>
              <w:t>требуется не более 7 календарных дней на первичное тестирования.</w:t>
            </w:r>
          </w:p>
        </w:tc>
      </w:tr>
    </w:tbl>
    <w:p>
      <w:pPr>
        <w:pStyle w:val="Normal"/>
        <w:ind w:left="0" w:right="0" w:firstLine="720"/>
        <w:jc w:val="both"/>
        <w:rPr>
          <w:b w:val="false"/>
          <w:b w:val="false"/>
          <w:bCs w:val="false"/>
          <w:sz w:val="28"/>
          <w:szCs w:val="28"/>
        </w:rPr>
      </w:pPr>
      <w:r>
        <w:rPr>
          <w:b w:val="false"/>
          <w:bCs w:val="false"/>
          <w:sz w:val="28"/>
          <w:szCs w:val="28"/>
        </w:rPr>
      </w:r>
    </w:p>
    <w:p>
      <w:pPr>
        <w:pStyle w:val="Normal"/>
        <w:ind w:left="0" w:right="0" w:firstLine="720"/>
        <w:jc w:val="both"/>
        <w:rPr>
          <w:b w:val="false"/>
          <w:b w:val="false"/>
          <w:bCs w:val="false"/>
          <w:sz w:val="28"/>
          <w:szCs w:val="28"/>
        </w:rPr>
      </w:pPr>
      <w:r>
        <w:rPr>
          <w:b w:val="false"/>
          <w:bCs w:val="false"/>
          <w:sz w:val="28"/>
          <w:szCs w:val="28"/>
        </w:rPr>
      </w:r>
    </w:p>
    <w:p>
      <w:pPr>
        <w:pStyle w:val="Normal"/>
        <w:ind w:left="0" w:right="0" w:firstLine="720"/>
        <w:jc w:val="right"/>
        <w:rPr>
          <w:b w:val="false"/>
          <w:b w:val="false"/>
          <w:bCs w:val="false"/>
          <w:sz w:val="28"/>
          <w:szCs w:val="28"/>
        </w:rPr>
      </w:pPr>
      <w:r>
        <w:rPr>
          <w:b w:val="false"/>
          <w:bCs w:val="false"/>
          <w:sz w:val="28"/>
          <w:szCs w:val="28"/>
        </w:rPr>
        <w:t>_______________ /</w:t>
      </w:r>
      <w:r>
        <w:rPr>
          <w:b w:val="false"/>
          <w:bCs w:val="false"/>
          <w:i/>
          <w:iCs/>
          <w:sz w:val="28"/>
          <w:szCs w:val="28"/>
        </w:rPr>
        <w:t>Глушков А.П.</w:t>
      </w:r>
      <w:r>
        <w:rPr>
          <w:b w:val="false"/>
          <w:bCs w:val="false"/>
          <w:i w:val="false"/>
          <w:iCs w:val="false"/>
          <w:sz w:val="28"/>
          <w:szCs w:val="28"/>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163</Words>
  <Characters>1095</Characters>
  <CharactersWithSpaces>1243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en-US</dc:language>
  <cp:lastModifiedBy/>
  <cp:revision>0</cp:revision>
  <dc:subject/>
  <dc:title/>
</cp:coreProperties>
</file>