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0085e7d3bf1d3cd45bb141d5a068079c83cf1b1"/>
    <w:p>
      <w:pPr>
        <w:pStyle w:val="Title"/>
        <w:jc w:val="center"/>
      </w:pPr>
      <w:r>
        <w:t xml:space="preserve">IE 306 Term Project — Reinforcement Learning for City-Scale Drone Delivery</w:t>
      </w:r>
    </w:p>
    <w:p>
      <w:pPr>
        <w:pStyle w:val="FirstParagraph"/>
      </w:pPr>
      <w:r>
        <w:rPr>
          <w:rFonts w:ascii="Calibri" w:hAnsi="Calibri"/>
          <w:b/>
          <w:bCs/>
          <w:sz w:val="20"/>
        </w:rPr>
        <w:t xml:space="preserve">Team: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Sezen Balkan (Role A), Ozan Karhan (Role B), Tuba Nur Büyükata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(Role C). Offline RL and multi-agent control are joint components.</w:t>
      </w:r>
    </w:p>
    <w:p>
      <w:pPr>
        <w:pStyle w:val="BodyText"/>
      </w:pPr>
      <w:r>
        <w:rPr>
          <w:rFonts w:ascii="Calibri" w:hAnsi="Calibri"/>
          <w:sz w:val="20"/>
        </w:rPr>
        <w:t xml:space="preserve">The primary metric is mean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cost_per_order</w:t>
      </w:r>
      <w:r>
        <w:rPr>
          <w:rFonts w:ascii="Calibri" w:hAnsi="Calibri"/>
          <w:sz w:val="20"/>
        </w:rPr>
        <w:t xml:space="preserve">; lower is better. Unless stated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otherwise, the final table uses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configs/eval_standard.yaml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and environment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seeds 0, 1, and 2. It is reproduced with:</w:t>
      </w:r>
    </w:p>
    <w:p>
      <w:pPr>
        <w:pStyle w:val="SourceCode"/>
      </w:pPr>
      <w:r>
        <w:rPr>
          <w:rStyle w:val="VerbatimChar"/>
          <w:rFonts w:ascii="Calibri" w:hAnsi="Calibri"/>
          <w:sz w:val="20"/>
        </w:rPr>
        <w:t xml:space="preserve">python run_all.py --config configs/eval_standard.yaml --seeds 0,1,2</w:t>
      </w:r>
    </w:p>
    <w:bookmarkStart w:id="9" w:name="baselines"/>
    <w:p>
      <w:pPr>
        <w:pStyle w:val="Heading2"/>
      </w:pPr>
      <w:r>
        <w:t xml:space="preserve">1. Baselines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Policy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cost/order, mean ± std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 rate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random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18.78 ± 1.27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0.653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greedy_nearest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4.57 ± 0.85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0.855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milp_rolling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4.72 ± 1.38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0.836</w:t>
            </w:r>
          </w:p>
        </w:tc>
      </w:tr>
    </w:tbl>
    <w:p>
      <w:pPr>
        <w:pStyle w:val="BodyText"/>
      </w:pPr>
      <w:r>
        <w:rPr>
          <w:rStyle w:val="VerbatimChar"/>
          <w:rFonts w:ascii="Calibri" w:hAnsi="Calibri"/>
          <w:sz w:val="20"/>
        </w:rPr>
        <w:t xml:space="preserve">greedy_nearest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is the required bar. MILP is slightly worse on these seeds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because its single-epoch Manhattan-distance matching can make poor assignments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around no-fly geometry.</w:t>
      </w:r>
    </w:p>
    <w:bookmarkEnd w:id="9"/>
    <w:bookmarkStart w:id="17" w:name="role-a-value-based-methods-sezen-balkan"/>
    <w:p>
      <w:pPr>
        <w:pStyle w:val="Heading2"/>
        <w:pageBreakBefore/>
      </w:pPr>
      <w:r>
        <w:t xml:space="preserve">2. Role A — Value-based methods (Sezen Balkan)</w:t>
      </w:r>
    </w:p>
    <w:bookmarkStart w:id="10" w:name="methods"/>
    <w:p>
      <w:pPr>
        <w:pStyle w:val="Heading3"/>
      </w:pPr>
      <w:r>
        <w:t xml:space="preserve">2.1 Methods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The first implementation used a flat observation vector and a replay-buffer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DQN. Invalid actions were masked both during action selection and Bellman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backup. We then introduced Double DQN to separate next-action selection from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target evaluation, Dueling DQN to separate state value and action advantage,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and three-step returns to improve delayed credit assignment.</w:t>
      </w:r>
    </w:p>
    <w:p>
      <w:pPr>
        <w:pStyle w:val="BodyText"/>
      </w:pPr>
      <w:r>
        <w:rPr>
          <w:rFonts w:ascii="Calibri" w:hAnsi="Calibri"/>
          <w:sz w:val="20"/>
        </w:rPr>
        <w:t xml:space="preserve">The flat network remained unstable and did not beat greedy. The final Role-A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method is therefore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factored Double DQN</w:t>
      </w:r>
      <w:r>
        <w:rPr>
          <w:rFonts w:ascii="Calibri" w:hAnsi="Calibri"/>
          <w:sz w:val="20"/>
        </w:rPr>
        <w:t xml:space="preserve">. Shared heads score every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drone-order assignment and every charging action. Features include routed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pickup/delivery distance, deadline feasibility, battery feasibility, current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SoC, and global demand. The network is warm-started by supervised imitation of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Role-C depth-1 planner, then updated using replay, a target network,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Double-DQN TD targets. The warm start is disclosed because presenting it as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from-scratch DQN would be misleading.</w:t>
      </w:r>
    </w:p>
    <w:bookmarkEnd w:id="10"/>
    <w:bookmarkStart w:id="14" w:name="results"/>
    <w:p>
      <w:pPr>
        <w:pStyle w:val="Heading3"/>
      </w:pPr>
      <w:r>
        <w:t xml:space="preserve">2.2 Results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Value-based method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DQN n=3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20.67 ± 6.57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0.495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Double DQN n=3, flat MLP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6.76 ± 1.80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0.749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Dueling DQN n=3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26.07 ± 3.49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0.428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Factored Double DQN, selected checkpoint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1.72 ± 0.05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0.914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Across three independent training seeds, the best factored Double-DQN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checkpoints achieved costs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1.72, 2.65, and 2.50</w:t>
      </w:r>
      <w:r>
        <w:rPr>
          <w:rFonts w:ascii="Calibri" w:hAnsi="Calibri"/>
          <w:sz w:val="20"/>
        </w:rPr>
        <w:t xml:space="preserve">, giving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2.29 ± 0.41</w:t>
      </w:r>
      <w:r>
        <w:rPr>
          <w:rFonts w:ascii="Calibri" w:hAnsi="Calibri"/>
          <w:sz w:val="20"/>
        </w:rPr>
        <w:t xml:space="preserve">. All three beat greedy. The selected saved model is training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seed 0 at 5,000 TD steps. Continuing to 10,000 steps caused late divergence,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so checkpoint selection is necessary rather than assuming more training is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always better.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2987040"/>
            <wp:effectExtent b="0" l="0" r="0" t="0"/>
            <wp:docPr descr="Factored Double DQN learning curve" title="" id="12" name="Picture"/>
            <a:graphic>
              <a:graphicData uri="http://schemas.openxmlformats.org/drawingml/2006/picture">
                <pic:pic>
                  <pic:nvPicPr>
                    <pic:cNvPr descr="figures/factored_double_dqn_curv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Factored Double DQN learning curve</w:t>
      </w:r>
    </w:p>
    <w:bookmarkEnd w:id="14"/>
    <w:bookmarkStart w:id="15" w:name="required-ablation-target-network"/>
    <w:p>
      <w:pPr>
        <w:pStyle w:val="Heading3"/>
      </w:pPr>
      <w:r>
        <w:t xml:space="preserve">2.3 Required ablation: target network</w:t>
      </w:r>
    </w:p>
    <w:p>
      <w:pPr>
        <w:pStyle w:val="FirstParagraph"/>
      </w:pPr>
      <w:r>
        <w:rPr>
          <w:rFonts w:ascii="Calibri" w:hAnsi="Calibri"/>
          <w:sz w:val="20"/>
        </w:rPr>
        <w:t xml:space="preserve">For the controlled flat Double-DQN run, target-network ON updates the target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every 1,000 steps; OFF copies the online network every step.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Setting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best cost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final cost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Target network ON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10.19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14.90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Target network OFF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13.18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25.66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Removing the delayed target worsens both the best checkpoint and the endpoint.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result supports the diagnosis that bootstrapping instability, not simply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insufficient compute, was the main flat-DQN failure.</w:t>
      </w:r>
    </w:p>
    <w:bookmarkEnd w:id="15"/>
    <w:bookmarkStart w:id="16" w:name="what-broke"/>
    <w:p>
      <w:pPr>
        <w:pStyle w:val="Heading3"/>
      </w:pPr>
      <w:r>
        <w:t xml:space="preserve">2.4 What broke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The original flat representation mixed a 20×20 grid with entity rows and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large action head. It learned passive charging/no-op behavior and later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diverged. Increasing training to millions of steps did not fix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representation. Factored action scoring supplied the relational information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needed for assignment. Even then, TD learning could destroy a good warm start,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which is why validation checkpoints and three training seeds are reported.</w:t>
      </w:r>
    </w:p>
    <w:bookmarkEnd w:id="16"/>
    <w:bookmarkEnd w:id="17"/>
    <w:bookmarkStart w:id="28" w:name="role-b-policy-based-methods-ozan-karhan"/>
    <w:p>
      <w:pPr>
        <w:pStyle w:val="Heading2"/>
      </w:pPr>
      <w:r>
        <w:t xml:space="preserve">3. Role B — Policy-based methods (Ozan Karhan)</w:t>
      </w:r>
    </w:p>
    <w:bookmarkStart w:id="18" w:name="methods-1"/>
    <w:p>
      <w:pPr>
        <w:pStyle w:val="Heading3"/>
      </w:pPr>
      <w:r>
        <w:t xml:space="preserve">3.1 Methods</w:t>
      </w:r>
    </w:p>
    <w:p>
      <w:pPr>
        <w:pStyle w:val="FirstParagraph"/>
      </w:pPr>
      <w:r>
        <w:rPr>
          <w:rFonts w:ascii="Calibri" w:hAnsi="Calibri"/>
          <w:sz w:val="20"/>
        </w:rPr>
        <w:t xml:space="preserve">REINFORCE uses likelihood-ratio policy gradients with a learned value baseline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and GAE. A2C uses the same factored actor-critic but collects fixed-length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rollouts and bootstraps from the critic, reducing variance. Invalid dispatch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actions are masked. DDPG uses a deterministic continuous actor, Q critic,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replay buffer, target networks, Polyak averaging, and OU exploration on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DroneControl-v0</w:t>
      </w:r>
      <w:r>
        <w:rPr>
          <w:rFonts w:ascii="Calibri" w:hAnsi="Calibri"/>
          <w:sz w:val="20"/>
        </w:rPr>
        <w:t xml:space="preserve">.</w:t>
      </w:r>
    </w:p>
    <w:bookmarkEnd w:id="18"/>
    <w:bookmarkStart w:id="22" w:name="dispatch-results"/>
    <w:p>
      <w:pPr>
        <w:pStyle w:val="Heading3"/>
      </w:pPr>
      <w:r>
        <w:t xml:space="preserve">3.2 Dispatch results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Method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cost/order, mean ± std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REINFORCE + GAE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2.72 ± 0.73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0.878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A2C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1.09 ± 0.43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0.976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A2C is the most reliable learned dispatcher. Its three saved training models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also beat greedy on seeds 0–4, whereas REINFORCE is highly seed-sensitive.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difference is consistent with the lower-variance bootstrapped updates used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by A2C.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1920239"/>
            <wp:effectExtent b="0" l="0" r="0" t="0"/>
            <wp:docPr descr="Role B dispatch curves" title="" id="20" name="Picture"/>
            <a:graphic>
              <a:graphicData uri="http://schemas.openxmlformats.org/drawingml/2006/picture">
                <pic:pic>
                  <pic:nvPicPr>
                    <pic:cNvPr descr="figures/dispatch_curve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Role B dispatch curves</w:t>
      </w:r>
    </w:p>
    <w:bookmarkEnd w:id="22"/>
    <w:bookmarkStart w:id="26" w:name="required-ablation-gae-λ"/>
    <w:p>
      <w:pPr>
        <w:pStyle w:val="Heading3"/>
      </w:pPr>
      <w:r>
        <w:t xml:space="preserve">3.3 Required ablation: GAE λ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The A2C sweep used λ ∈ {0, 0.9, 0.95, 0.99, 1.0}, two training seeds, and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40k-step budget.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4896"/>
        <w:gridCol w:w="4896"/>
      </w:tblGrid>
      <w:tr>
        <w:trPr>
          <w:tblHeader w:val="on"/>
        </w:trP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λ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mean best validation cost</w:t>
            </w:r>
          </w:p>
        </w:tc>
      </w:tr>
      <w:t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0.0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13.82</w:t>
            </w:r>
          </w:p>
        </w:tc>
      </w:tr>
      <w:t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0.77</w:t>
            </w:r>
          </w:p>
        </w:tc>
      </w:tr>
      <w:t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0.95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0.76</w:t>
            </w:r>
          </w:p>
        </w:tc>
      </w:tr>
      <w:t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0.99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0.89</w:t>
            </w:r>
          </w:p>
        </w:tc>
      </w:tr>
      <w:tr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1.0</w:t>
            </w:r>
          </w:p>
        </w:tc>
        <w:tc>
          <w:tcPr>
            <w:tcW w:type="dxa" w:w="4896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0.90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One-step advantages are too myopic; λ around 0.9–0.95 balances bias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variance. Although the main methods have three training seeds, this reduced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ablation has two seeds and should be interpreted as a controlled design check.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3291840"/>
            <wp:effectExtent b="0" l="0" r="0" t="0"/>
            <wp:docPr descr="GAE ablation" title="" id="24" name="Picture"/>
            <a:graphic>
              <a:graphicData uri="http://schemas.openxmlformats.org/drawingml/2006/picture">
                <pic:pic>
                  <pic:nvPicPr>
                    <pic:cNvPr descr="figures/ablation_ga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329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GAE ablation</w:t>
      </w:r>
    </w:p>
    <w:bookmarkEnd w:id="26"/>
    <w:bookmarkStart w:id="27" w:name="ddpg-result-and-failure"/>
    <w:p>
      <w:pPr>
        <w:pStyle w:val="Heading3"/>
      </w:pPr>
      <w:r>
        <w:t xml:space="preserve">3.4 DDPG result and failure</w:t>
      </w:r>
    </w:p>
    <w:p>
      <w:pPr>
        <w:pStyle w:val="FirstParagraph"/>
      </w:pPr>
      <w:r>
        <w:rPr>
          <w:rFonts w:ascii="Calibri" w:hAnsi="Calibri"/>
          <w:sz w:val="20"/>
        </w:rPr>
        <w:t xml:space="preserve">On seeds 0–2, the current go-straight controller obtains mean return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26.37</w:t>
      </w:r>
      <w:r>
        <w:rPr>
          <w:rFonts w:ascii="Calibri" w:hAnsi="Calibri"/>
          <w:sz w:val="20"/>
        </w:rPr>
        <w:t xml:space="preserve">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success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1.00</w:t>
      </w:r>
      <w:r>
        <w:rPr>
          <w:rFonts w:ascii="Calibri" w:hAnsi="Calibri"/>
          <w:sz w:val="20"/>
        </w:rPr>
        <w:t xml:space="preserve">, and 11.7 steps. The selected DDPG checkpoint obtains return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−69.66</w:t>
      </w:r>
      <w:r>
        <w:rPr>
          <w:rFonts w:ascii="Calibri" w:hAnsi="Calibri"/>
          <w:sz w:val="20"/>
        </w:rPr>
        <w:t xml:space="preserve">, success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0.00</w:t>
      </w:r>
      <w:r>
        <w:rPr>
          <w:rFonts w:ascii="Calibri" w:hAnsi="Calibri"/>
          <w:sz w:val="20"/>
        </w:rPr>
        <w:t xml:space="preserve">, and 234.3 steps. DDPG therefore does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not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beat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its controller baseline. It learned conservative movement that avoided some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large penalties but failed to reach the target. This remains an unresolved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Role-B weakness rather than a successful result.</w:t>
      </w:r>
    </w:p>
    <w:p>
      <w:pPr>
        <w:pStyle w:val="BodyText"/>
      </w:pPr>
      <w:r>
        <w:rPr>
          <w:rFonts w:ascii="Calibri" w:hAnsi="Calibri"/>
          <w:sz w:val="20"/>
        </w:rPr>
        <w:t xml:space="preserve">The main engineering fix for A2C was reward scaling and Huber value loss: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unscaled value targets produced losses around 25,000 and suppressed useful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policy gradients.</w:t>
      </w:r>
    </w:p>
    <w:bookmarkEnd w:id="27"/>
    <w:bookmarkEnd w:id="28"/>
    <w:bookmarkStart w:id="29" w:name="role-c-planning-tuba-nur-büyükata"/>
    <w:p>
      <w:pPr>
        <w:pStyle w:val="Heading2"/>
      </w:pPr>
      <w:r>
        <w:t xml:space="preserve">4. Role C — Planning (Tuba Nur Büyükata)</w:t>
      </w:r>
    </w:p>
    <w:p>
      <w:pPr>
        <w:pStyle w:val="FirstParagraph"/>
      </w:pPr>
      <w:r>
        <w:rPr>
          <w:rFonts w:ascii="Calibri" w:hAnsi="Calibri"/>
          <w:sz w:val="20"/>
        </w:rPr>
        <w:t xml:space="preserve">Role C implements a deterministic decision-time planner. It evaluates every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valid assignment using routed pickup distance, full delivery distance,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remaining deadline, battery shortfall, order age, and charging readiness.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All coefficients are stored in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configs/role_c_rollout.yaml</w:t>
      </w:r>
      <w:r>
        <w:rPr>
          <w:rFonts w:ascii="Calibri" w:hAnsi="Calibri"/>
          <w:sz w:val="20"/>
        </w:rPr>
        <w:t xml:space="preserve">. Routed distances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are computed by student-side BFS using only the frozen observation grid.</w:t>
      </w:r>
    </w:p>
    <w:p>
      <w:pPr>
        <w:pStyle w:val="BodyText"/>
      </w:pPr>
      <w:r>
        <w:rPr>
          <w:rFonts w:ascii="Calibri" w:hAnsi="Calibri"/>
          <w:sz w:val="20"/>
        </w:rPr>
        <w:t xml:space="preserve">The depth ablation is: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  <w:sz w:val="20"/>
        </w:rPr>
        <w:t xml:space="preserve">depth 0: nearest-pickup rule with a battery guard;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  <w:sz w:val="20"/>
        </w:rPr>
        <w:t xml:space="preserve">depth 1: adds delivery distance, deadline risk, and battery feasibility;</w:t>
      </w:r>
    </w:p>
    <w:p>
      <w:pPr>
        <w:pStyle w:val="Compact"/>
        <w:numPr>
          <w:ilvl w:val="0"/>
          <w:numId w:val="1001"/>
        </w:numPr>
      </w:pPr>
      <w:r>
        <w:rPr>
          <w:rFonts w:ascii="Calibri" w:hAnsi="Calibri"/>
          <w:sz w:val="20"/>
        </w:rPr>
        <w:t xml:space="preserve">depth 2: adds post-delivery distance to a charger.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958"/>
        <w:gridCol w:w="1958"/>
        <w:gridCol w:w="1958"/>
        <w:gridCol w:w="1958"/>
        <w:gridCol w:w="1960"/>
      </w:tblGrid>
      <w:tr>
        <w:trPr>
          <w:tblHeader w:val="on"/>
        </w:trPr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Method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on-time</w:t>
            </w:r>
          </w:p>
        </w:tc>
        <w:tc>
          <w:tcPr>
            <w:tcW w:type="dxa" w:w="1960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delivered</w:t>
            </w:r>
          </w:p>
        </w:tc>
      </w:tr>
      <w:tr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depth 0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4.570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0.855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0.903</w:t>
            </w:r>
          </w:p>
        </w:tc>
        <w:tc>
          <w:tcPr>
            <w:tcW w:type="dxa" w:w="1960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118.3</w:t>
            </w:r>
          </w:p>
        </w:tc>
      </w:tr>
      <w:tr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depth 1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2.923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0.881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0.982</w:t>
            </w:r>
          </w:p>
        </w:tc>
        <w:tc>
          <w:tcPr>
            <w:tcW w:type="dxa" w:w="1960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126.3</w:t>
            </w:r>
          </w:p>
        </w:tc>
      </w:tr>
      <w:tr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depth 2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3.331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0.869</w:t>
            </w:r>
          </w:p>
        </w:tc>
        <w:tc>
          <w:tcPr>
            <w:tcW w:type="dxa" w:w="1958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0.982</w:t>
            </w:r>
          </w:p>
        </w:tc>
        <w:tc>
          <w:tcPr>
            <w:tcW w:type="dxa" w:w="1960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124.3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Depth 1 is selected. Depth 2 is more conservative and sacrifices good current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assignments for future charger proximity. The implementation is a shallow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rollout-style scoring planner, not a full cloned-state MCTS tree; this is a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deliberate limitation and is stated explicitly.</w:t>
      </w:r>
    </w:p>
    <w:bookmarkEnd w:id="29"/>
    <w:bookmarkStart w:id="30" w:name="joint-component-offline-rl"/>
    <w:p>
      <w:pPr>
        <w:pStyle w:val="Heading2"/>
      </w:pPr>
      <w:r>
        <w:t xml:space="preserve">5. Joint component — Offline RL</w:t>
      </w:r>
    </w:p>
    <w:p>
      <w:pPr>
        <w:pStyle w:val="FirstParagraph"/>
      </w:pPr>
      <w:r>
        <w:rPr>
          <w:rFonts w:ascii="Calibri" w:hAnsi="Calibri"/>
          <w:sz w:val="20"/>
        </w:rPr>
        <w:t xml:space="preserve">The pooled dataset contains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420,103 transitions from 3,969 episodes</w:t>
      </w:r>
      <w:r>
        <w:rPr>
          <w:rFonts w:ascii="Calibri" w:hAnsi="Calibri"/>
          <w:sz w:val="20"/>
        </w:rPr>
        <w:t xml:space="preserve">. Its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checksum and validation command are in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DATASET.md</w:t>
      </w:r>
      <w:r>
        <w:rPr>
          <w:rFonts w:ascii="Calibri" w:hAnsi="Calibri"/>
          <w:sz w:val="20"/>
        </w:rPr>
        <w:t xml:space="preserve">. It combines trajectories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from all three role policies and includes mixed-quality behavior.</w:t>
      </w:r>
    </w:p>
    <w:p>
      <w:pPr>
        <w:pStyle w:val="BodyText"/>
      </w:pPr>
      <w:r>
        <w:rPr>
          <w:rFonts w:ascii="Calibri" w:hAnsi="Calibri"/>
          <w:sz w:val="20"/>
        </w:rPr>
        <w:t xml:space="preserve">Naive offline DQN performs Bellman regression over the static data. Because the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dataset does not store masks, its maximum ranges over all 169 actions,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including unsupported actions. CQL adds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α(logsumexp Q(s,a) − Q(s,a_data))</w:t>
      </w:r>
      <w:r>
        <w:rPr>
          <w:rFonts w:ascii="Calibri" w:hAnsi="Calibri"/>
          <w:sz w:val="20"/>
        </w:rPr>
        <w:t xml:space="preserve">; BC directly clones logged actions.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/>
                <w:sz w:val="17"/>
              </w:rPr>
              <w:t xml:space="preserve">Method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cost/order, 3 training seeds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success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BC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18.45 ± 3.79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0.542 ± 0.058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sz w:val="17"/>
              </w:rPr>
              <w:t xml:space="preserve">naive offline DQN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13.96 ± 2.72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0.537 ± 0.055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CQL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7.06 ± 1.10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0.717 ± 0.030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CQL beats both required offline baselines. The selected CQL seed scores 5.72.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Naive final maximum Q-values were approximately 6,785, 4,170, and 5,982;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CQL reduced them to 839, 792, and 745. Thus the OOD over-estimation failure is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visible in every training seed, not only in one lucky run.</w:t>
      </w:r>
    </w:p>
    <w:bookmarkEnd w:id="30"/>
    <w:bookmarkStart w:id="34" w:name="joint-component-multi-agent-idqn"/>
    <w:p>
      <w:pPr>
        <w:pStyle w:val="Heading2"/>
      </w:pPr>
      <w:r>
        <w:t xml:space="preserve">6. Joint component — Multi-agent IDQN</w:t>
      </w:r>
    </w:p>
    <w:p>
      <w:pPr>
        <w:pStyle w:val="FirstParagraph"/>
      </w:pPr>
      <w:r>
        <w:rPr>
          <w:rFonts w:ascii="Calibri" w:hAnsi="Calibri"/>
          <w:sz w:val="20"/>
        </w:rPr>
        <w:t xml:space="preserve">Eight decentralized drone agents share one Q-network and one replay buffer on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DroneDispatchMA-v0</w:t>
      </w:r>
      <w:r>
        <w:rPr>
          <w:rFonts w:ascii="Calibri" w:hAnsi="Calibri"/>
          <w:sz w:val="20"/>
        </w:rPr>
        <w:t xml:space="preserve">. Each receives its local 59-dimensional observation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chooses accept, move, charge, or idle. The cost metric now counts on-time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deliveries from their actual deadlines rather than using a reward threshold.</w:t>
      </w:r>
    </w:p>
    <w:p>
      <w:pPr>
        <w:pStyle w:val="BodyText"/>
      </w:pPr>
      <w:r>
        <w:rPr>
          <w:rFonts w:ascii="Calibri" w:hAnsi="Calibri"/>
          <w:sz w:val="20"/>
        </w:rPr>
        <w:t xml:space="preserve">Three equal 30k-step training runs produced:</w:t>
      </w:r>
    </w:p>
    <w:tbl>
      <w:tblPr>
        <w:tblStyle w:val="Table"/>
        <w:tblW w:type="dxa" w:w="979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3264"/>
        <w:gridCol w:w="3264"/>
        <w:gridCol w:w="3264"/>
      </w:tblGrid>
      <w:tr>
        <w:trPr>
          <w:tblHeader w:val="on"/>
        </w:trP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training seed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cost/order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  <w:shd w:fill="E8EEF5"/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/>
                <w:sz w:val="17"/>
              </w:rPr>
              <w:t xml:space="preserve">delivered/episode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0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55.33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26.0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44.17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30.3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2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17.90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sz w:val="17"/>
              </w:rPr>
              <w:t xml:space="preserve">71.7</w:t>
            </w:r>
          </w:p>
        </w:tc>
      </w:tr>
      <w:tr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mean ± std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39.14 ± 15.69</w:t>
            </w:r>
          </w:p>
        </w:tc>
        <w:tc>
          <w:tcPr>
            <w:tcW w:type="dxa" w:w="3264"/>
            <w:vAlign w:val="center"/>
            <w:tcMar>
              <w:top w:w="55" w:type="dxa"/>
              <w:bottom w:w="55" w:type="dxa"/>
              <w:start w:w="90" w:type="dxa"/>
              <w:end w:w="90" w:type="dxa"/>
            </w:tcMar>
          </w:tcPr>
          <w:p>
            <w:pPr>
              <w:pStyle w:val="Compact"/>
              <w:spacing w:after="0" w:line="240" w:lineRule="auto"/>
              <w:jc w:val="right"/>
            </w:pPr>
            <w:r>
              <w:rPr>
                <w:rFonts w:ascii="Calibri" w:hAnsi="Calibri"/>
                <w:b w:val="0"/>
                <w:bCs/>
                <w:sz w:val="17"/>
              </w:rPr>
              <w:t xml:space="preserve">42.7 ± 20.6</w:t>
            </w:r>
          </w:p>
        </w:tc>
      </w:tr>
    </w:tbl>
    <w:p>
      <w:pPr>
        <w:pStyle w:val="BodyText"/>
      </w:pPr>
      <w:r>
        <w:rPr>
          <w:rFonts w:ascii="Calibri" w:hAnsi="Calibri"/>
          <w:sz w:val="20"/>
        </w:rPr>
        <w:t xml:space="preserve">The random MA baseline costs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9.23</w:t>
      </w:r>
      <w:r>
        <w:rPr>
          <w:rFonts w:ascii="Calibri" w:hAnsi="Calibri"/>
          <w:sz w:val="20"/>
        </w:rPr>
        <w:t xml:space="preserve">, so these equal-budget runs do not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converge. An earlier extended 60k seed-0 checkpoint reaches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6.65</w:t>
      </w:r>
      <w:r>
        <w:rPr>
          <w:rFonts w:ascii="Calibri" w:hAnsi="Calibri"/>
          <w:sz w:val="20"/>
        </w:rPr>
        <w:t xml:space="preserve">, delivers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100.7 orders, and beats random, but it is not presented as a robust three-seed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result. It also does not beat the best centralized A2C (1.09) or Role-C planner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(2.92). This corrects the earlier claim that IDQN generally beat the centralized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policy.</w:t>
      </w:r>
    </w:p>
    <w:p>
      <w:pPr>
        <w:pStyle w:val="CaptionedFigure"/>
      </w:pPr>
      <w:r>
        <w:rPr>
          <w:rFonts w:ascii="Calibri" w:hAnsi="Calibri"/>
          <w:sz w:val="20"/>
        </w:rPr>
        <w:drawing>
          <wp:inline>
            <wp:extent cx="5120640" cy="2987040"/>
            <wp:effectExtent b="0" l="0" r="0" t="0"/>
            <wp:docPr descr="Multi-agent three-seed curve" title="" id="32" name="Picture"/>
            <a:graphic>
              <a:graphicData uri="http://schemas.openxmlformats.org/drawingml/2006/picture">
                <pic:pic>
                  <pic:nvPicPr>
                    <pic:cNvPr descr="figures/ma_idqn_three_se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Calibri" w:hAnsi="Calibri"/>
          <w:sz w:val="20"/>
        </w:rPr>
        <w:t xml:space="preserve">Multi-agent three-seed curve</w:t>
      </w:r>
    </w:p>
    <w:p>
      <w:pPr>
        <w:pStyle w:val="BodyText"/>
      </w:pPr>
      <w:r>
        <w:rPr>
          <w:rFonts w:ascii="Calibri" w:hAnsi="Calibri"/>
          <w:sz w:val="20"/>
        </w:rPr>
        <w:t xml:space="preserve">The high variance illustrates non-stationarity: from one drone’s perspective,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other seven agents change their behavior while the shared network learns.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Parameter sharing reduces but does not remove this moving-target problem.</w:t>
      </w:r>
    </w:p>
    <w:bookmarkEnd w:id="34"/>
    <w:bookmarkStart w:id="35" w:name="method-origins"/>
    <w:p>
      <w:pPr>
        <w:pStyle w:val="Heading2"/>
      </w:pPr>
      <w:r>
        <w:t xml:space="preserve">7. Method origins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b/>
          <w:bCs/>
          <w:sz w:val="20"/>
        </w:rPr>
        <w:t xml:space="preserve">DQN: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Mnih et al.,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Human-level control through deep reinforcement</w:t>
      </w:r>
      <w:r>
        <w:rPr>
          <w:rFonts w:ascii="Calibri" w:hAnsi="Calibri"/>
          <w:i/>
          <w:iCs/>
          <w:sz w:val="20"/>
        </w:rPr>
        <w:t xml:space="preserve"> </w:t>
      </w:r>
      <w:r>
        <w:rPr>
          <w:rFonts w:ascii="Calibri" w:hAnsi="Calibri"/>
          <w:i/>
          <w:iCs/>
          <w:sz w:val="20"/>
        </w:rPr>
        <w:t xml:space="preserve">learning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(2015), chosen as the canonical replay/target-network value method.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b/>
          <w:bCs/>
          <w:sz w:val="20"/>
        </w:rPr>
        <w:t xml:space="preserve">Double DQN: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van Hasselt, Guez &amp; Silver (2016), chosen to reduce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max-operator over-estimation.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b/>
          <w:bCs/>
          <w:sz w:val="20"/>
        </w:rPr>
        <w:t xml:space="preserve">Dueling DQN: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Wang et al. (2016), chosen to separate state value from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action-specific advantage.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b/>
          <w:bCs/>
          <w:sz w:val="20"/>
        </w:rPr>
        <w:t xml:space="preserve">REINFORCE: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Williams (1992), the likelihood-ratio policy-gradient baseline.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b/>
          <w:bCs/>
          <w:sz w:val="20"/>
        </w:rPr>
        <w:t xml:space="preserve">GAE: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Schulman et al. (2016), chosen for its explicit bias/variance λ knob.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b/>
          <w:bCs/>
          <w:sz w:val="20"/>
        </w:rPr>
        <w:t xml:space="preserve">A2C/A3C: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Mnih et al. (2016); we use the synchronous A2C variant.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b/>
          <w:bCs/>
          <w:sz w:val="20"/>
        </w:rPr>
        <w:t xml:space="preserve">DDPG: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Lillicrap et al. (2016), chosen for continuous speed/heading actions.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b/>
          <w:bCs/>
          <w:sz w:val="20"/>
        </w:rPr>
        <w:t xml:space="preserve">Rollout planning: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Sutton &amp; Barto, Chapter 8, and Tesauro &amp; Galperin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(1996), motivating decision-time policy improvement.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b/>
          <w:bCs/>
          <w:sz w:val="20"/>
        </w:rPr>
        <w:t xml:space="preserve">CQL: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Kumar et al. (2020), chosen to penalize unsupported offline actions.</w:t>
      </w:r>
    </w:p>
    <w:p>
      <w:pPr>
        <w:pStyle w:val="Compact"/>
        <w:numPr>
          <w:ilvl w:val="0"/>
          <w:numId w:val="1002"/>
        </w:numPr>
      </w:pPr>
      <w:r>
        <w:rPr>
          <w:rFonts w:ascii="Calibri" w:hAnsi="Calibri"/>
          <w:b/>
          <w:bCs/>
          <w:sz w:val="20"/>
        </w:rPr>
        <w:t xml:space="preserve">IDQN/parameter sharing: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Tampuu et al. (2017) and Gupta et al. (2017).</w:t>
      </w:r>
    </w:p>
    <w:bookmarkEnd w:id="35"/>
    <w:bookmarkStart w:id="36" w:name="reproducibility-and-final-assessment"/>
    <w:p>
      <w:pPr>
        <w:pStyle w:val="Heading2"/>
      </w:pPr>
      <w:r>
        <w:t xml:space="preserve">8. Reproducibility and final assessment</w:t>
      </w:r>
    </w:p>
    <w:p>
      <w:pPr>
        <w:pStyle w:val="FirstParagraph"/>
      </w:pPr>
      <w:r>
        <w:rPr>
          <w:rFonts w:ascii="Calibri" w:hAnsi="Calibri"/>
          <w:sz w:val="20"/>
        </w:rPr>
        <w:t xml:space="preserve">All experimental numbers are in YAML configs; dependencies are pinned.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offline_pool.npz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is included with SHA-256 verification.</w:t>
      </w:r>
      <w:r>
        <w:rPr>
          <w:rFonts w:ascii="Calibri" w:hAnsi="Calibri"/>
          <w:sz w:val="20"/>
        </w:rPr>
        <w:t xml:space="preserve"> </w:t>
      </w:r>
      <w:r>
        <w:rPr>
          <w:rStyle w:val="VerbatimChar"/>
          <w:rFonts w:ascii="Calibri" w:hAnsi="Calibri"/>
          <w:sz w:val="20"/>
        </w:rPr>
        <w:t xml:space="preserve">run_all.py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loads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the final saved policies for every role and both joint components. The simulator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tests pass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b/>
          <w:bCs/>
          <w:sz w:val="20"/>
        </w:rPr>
        <w:t xml:space="preserve">17/17</w:t>
      </w:r>
      <w:r>
        <w:rPr>
          <w:rFonts w:ascii="Calibri" w:hAnsi="Calibri"/>
          <w:sz w:val="20"/>
        </w:rPr>
        <w:t xml:space="preserve">.</w:t>
      </w:r>
    </w:p>
    <w:p>
      <w:pPr>
        <w:pStyle w:val="BodyText"/>
      </w:pPr>
      <w:r>
        <w:rPr>
          <w:rFonts w:ascii="Calibri" w:hAnsi="Calibri"/>
          <w:sz w:val="20"/>
        </w:rPr>
        <w:t xml:space="preserve">The strongest methods are A2C, factored Double DQN, and the depth-1 planner.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Offline CQL satisfies the required failure-and-fix comparison. DDPG and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three-seed IDQN remain honest negative results: they run end-to-end, but do not</w:t>
      </w:r>
      <w:r>
        <w:rPr>
          <w:rFonts w:ascii="Calibri" w:hAnsi="Calibri"/>
          <w:sz w:val="20"/>
        </w:rPr>
        <w:t xml:space="preserve"> </w:t>
      </w:r>
      <w:r>
        <w:rPr>
          <w:rFonts w:ascii="Calibri" w:hAnsi="Calibri"/>
          <w:sz w:val="20"/>
        </w:rPr>
        <w:t xml:space="preserve">meet their respective baselines reliably.</w:t>
      </w:r>
    </w:p>
    <w:bookmarkEnd w:id="36"/>
    <w:bookmarkEnd w:id="37"/>
    <w:sectPr>
      <w:headerReference w:type="default" r:id="rId9"/>
      <w:footerReference w:type="default" r:id="rId10"/>
      <w:footnotePr>
        <w:numRestart w:val="eachSect"/>
      </w:footnotePr>
      <w:pgSz w:w="12240" w:h="15840"/>
      <w:pgMar w:top="1037" w:bottom="1037" w:left="1224" w:right="1224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646E"/>
        <w:sz w:val="15"/>
      </w:rPr>
      <w:t>Sezen Balkan | Ozan Karhan | Tuba Nur Büyükata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646E"/>
        <w:sz w:val="15"/>
      </w:rPr>
      <w:t>IE 306 Term Project | Drone Delivery RL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259" w:lineRule="auto"/>
    </w:pPr>
    <w:rPr>
      <w:rFonts w:ascii="Calibri" w:hAnsi="Calibri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00" w:line="240" w:lineRule="auto" w:before="0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1F4D78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180"/>
      <w:outlineLvl w:val="0"/>
    </w:pPr>
    <w:rPr>
      <w:rFonts w:asciiTheme="majorHAnsi" w:cstheme="majorBidi" w:eastAsiaTheme="majorEastAsia" w:hAnsiTheme="majorHAnsi" w:ascii="Calibri" w:hAnsi="Calibri"/>
      <w:b/>
      <w:color w:val="1F4D78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40"/>
      <w:outlineLvl w:val="1"/>
    </w:pPr>
    <w:rPr>
      <w:rFonts w:asciiTheme="majorHAnsi" w:cstheme="majorBidi" w:eastAsiaTheme="majorEastAsia" w:hAnsiTheme="majorHAnsi" w:ascii="Calibri" w:hAnsi="Calibri"/>
      <w:b/>
      <w:color w:val="1F4D78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00"/>
      <w:outlineLvl w:val="2"/>
    </w:pPr>
    <w:rPr>
      <w:rFonts w:cstheme="majorBidi" w:eastAsiaTheme="majorEastAsia" w:ascii="Calibri" w:hAnsi="Calibri"/>
      <w:b/>
      <w:color w:val="5A646E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11" Type="http://schemas.openxmlformats.org/officeDocument/2006/relationships/image" Target="media/rId11.png"/><Relationship Id="rId31" Type="http://schemas.openxmlformats.org/officeDocument/2006/relationships/image" Target="media/rId31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 306 Term Project - Drone Delivery RL</dc:title>
  <dc:creator>Sezen Balkan; Ozan Karhan; Tuba Nur Büyükata</dc:creator>
  <cp:keywords/>
  <dcterms:created xsi:type="dcterms:W3CDTF">2026-06-25T23:25:14Z</dcterms:created>
  <dcterms:modified xsi:type="dcterms:W3CDTF">2026-06-25T23:25:14Z</dcterms:modified>
  <dc:subject>Team report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