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29.png" ContentType="image/png"/>
  <Override PartName="/word/media/rId17.png" ContentType="image/png"/>
  <Override PartName="/word/media/rId11.png" ContentType="image/png"/>
  <Override PartName="/word/media/rId14.png" ContentType="image/png"/>
  <Override PartName="/word/media/rId20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0085e7d3bf1d3cd45bb141d5a068079c83cf1b1"/>
    <w:p>
      <w:pPr>
        <w:pStyle w:val="Heading1"/>
      </w:pPr>
      <w:r>
        <w:t xml:space="preserve">IE 306 Term Project — Reinforcement Learning for City-Scale Drone Delivery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Sezen Balkan (Role A), Ozan Karhan (Role B), Tuba Nur Büyükata</w:t>
      </w:r>
      <w:r>
        <w:t xml:space="preserve"> </w:t>
      </w:r>
      <w:r>
        <w:t xml:space="preserve">(Role C). Offline RL and multi-agent control are joint components.</w:t>
      </w:r>
    </w:p>
    <w:p>
      <w:pPr>
        <w:pStyle w:val="BodyText"/>
      </w:pPr>
      <w:r>
        <w:t xml:space="preserve">The primary metric is mean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; lower is better. Unless stated</w:t>
      </w:r>
      <w:r>
        <w:t xml:space="preserve"> </w:t>
      </w:r>
      <w:r>
        <w:t xml:space="preserve">otherwise, the final table uses</w:t>
      </w:r>
      <w:r>
        <w:t xml:space="preserve"> </w:t>
      </w:r>
      <w:r>
        <w:rPr>
          <w:rStyle w:val="VerbatimChar"/>
        </w:rPr>
        <w:t xml:space="preserve">configs/eval_standard.yaml</w:t>
      </w:r>
      <w:r>
        <w:t xml:space="preserve"> </w:t>
      </w:r>
      <w:r>
        <w:t xml:space="preserve">and environment</w:t>
      </w:r>
      <w:r>
        <w:t xml:space="preserve"> </w:t>
      </w:r>
      <w:r>
        <w:t xml:space="preserve">seeds 0, 1, and 2. It is reproduced with:</w:t>
      </w:r>
    </w:p>
    <w:p>
      <w:pPr>
        <w:pStyle w:val="SourceCode"/>
      </w:pPr>
      <w:r>
        <w:rPr>
          <w:rStyle w:val="VerbatimChar"/>
        </w:rPr>
        <w:t xml:space="preserve">python run_all.py --config configs/eval_standard.yaml --seeds 0,1,2</w:t>
      </w:r>
    </w:p>
    <w:bookmarkStart w:id="9" w:name="baselines"/>
    <w:p>
      <w:pPr>
        <w:pStyle w:val="Heading2"/>
      </w:pPr>
      <w:r>
        <w:t xml:space="preserve">1.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mean ±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18.78 ± 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greedy_nearest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4.57 ± 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milp_rolling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 ± 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greedy_nearest</w:t>
      </w:r>
      <w:r>
        <w:t xml:space="preserve"> </w:t>
      </w:r>
      <w:r>
        <w:t xml:space="preserve">is the required bar. MILP is slightly worse on these seeds</w:t>
      </w:r>
      <w:r>
        <w:t xml:space="preserve"> </w:t>
      </w:r>
      <w:r>
        <w:t xml:space="preserve">because its single-epoch Manhattan-distance matching can make poor assignments</w:t>
      </w:r>
      <w:r>
        <w:t xml:space="preserve"> </w:t>
      </w:r>
      <w:r>
        <w:t xml:space="preserve">around no-fly geometry.</w:t>
      </w:r>
    </w:p>
    <w:bookmarkEnd w:id="9"/>
    <w:bookmarkStart w:id="27" w:name="role-a-value-based-methods-sezen-balkan"/>
    <w:p>
      <w:pPr>
        <w:pStyle w:val="Heading2"/>
      </w:pPr>
      <w:r>
        <w:t xml:space="preserve">2. Role A — Value-based methods (Sezen Balkan)</w:t>
      </w:r>
    </w:p>
    <w:bookmarkStart w:id="10" w:name="methods"/>
    <w:p>
      <w:pPr>
        <w:pStyle w:val="Heading3"/>
      </w:pPr>
      <w:r>
        <w:t xml:space="preserve">2.1 Methods</w:t>
      </w:r>
    </w:p>
    <w:p>
      <w:pPr>
        <w:pStyle w:val="FirstParagraph"/>
      </w:pPr>
      <w:r>
        <w:t xml:space="preserve">The first implementation used a flat observation vector and a replay-buffer</w:t>
      </w:r>
      <w:r>
        <w:t xml:space="preserve"> </w:t>
      </w:r>
      <w:r>
        <w:t xml:space="preserve">DQN. Invalid actions were masked both during action selection and Bellman</w:t>
      </w:r>
      <w:r>
        <w:t xml:space="preserve"> </w:t>
      </w:r>
      <w:r>
        <w:t xml:space="preserve">backup. We then introduced Double DQN to separate next-action selection from</w:t>
      </w:r>
      <w:r>
        <w:t xml:space="preserve"> </w:t>
      </w:r>
      <w:r>
        <w:t xml:space="preserve">target evaluation, Dueling DQN to separate state value and action advantage,</w:t>
      </w:r>
      <w:r>
        <w:t xml:space="preserve"> </w:t>
      </w:r>
      <w:r>
        <w:t xml:space="preserve">and three-step returns to improve delayed credit assignment.</w:t>
      </w:r>
    </w:p>
    <w:p>
      <w:pPr>
        <w:pStyle w:val="BodyText"/>
      </w:pPr>
      <w:r>
        <w:t xml:space="preserve">The flat network remained unstable and did not beat greedy. The final Role-A</w:t>
      </w:r>
      <w:r>
        <w:t xml:space="preserve"> </w:t>
      </w:r>
      <w:r>
        <w:t xml:space="preserve">method is therefore a</w:t>
      </w:r>
      <w:r>
        <w:t xml:space="preserve"> </w:t>
      </w:r>
      <w:r>
        <w:rPr>
          <w:b/>
          <w:bCs/>
        </w:rPr>
        <w:t xml:space="preserve">factored Double DQN</w:t>
      </w:r>
      <w:r>
        <w:t xml:space="preserve">. Shared heads score every</w:t>
      </w:r>
      <w:r>
        <w:t xml:space="preserve"> </w:t>
      </w:r>
      <w:r>
        <w:t xml:space="preserve">drone-order assignment and every charging action. Features include routed</w:t>
      </w:r>
      <w:r>
        <w:t xml:space="preserve"> </w:t>
      </w:r>
      <w:r>
        <w:t xml:space="preserve">pickup/delivery distance, deadline feasibility, battery feasibility, current</w:t>
      </w:r>
      <w:r>
        <w:t xml:space="preserve"> </w:t>
      </w:r>
      <w:r>
        <w:t xml:space="preserve">SoC, and global demand. The network is warm-started by supervised imitation of</w:t>
      </w:r>
      <w:r>
        <w:t xml:space="preserve"> </w:t>
      </w:r>
      <w:r>
        <w:t xml:space="preserve">the Role-C depth-1 planner, then updated using replay, a target network, and</w:t>
      </w:r>
      <w:r>
        <w:t xml:space="preserve"> </w:t>
      </w:r>
      <w:r>
        <w:t xml:space="preserve">Double-DQN TD targets. The warm start is disclosed because presenting it as a</w:t>
      </w:r>
      <w:r>
        <w:t xml:space="preserve"> </w:t>
      </w:r>
      <w:r>
        <w:t xml:space="preserve">from-scratch DQN would be misleading.</w:t>
      </w:r>
    </w:p>
    <w:bookmarkEnd w:id="10"/>
    <w:bookmarkStart w:id="23" w:name="results"/>
    <w:p>
      <w:pPr>
        <w:pStyle w:val="Heading3"/>
      </w:pPr>
      <w:r>
        <w:t xml:space="preserve">2.2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Value-based method (3 training seeds)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 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20.67 ± 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DQN n=3, flat 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 ± 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Dueling DQN 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26.07 ± 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Factored, warm-start only (0 TD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 ± 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Factored Double DQN, best checkpoint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2.29 ± 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0.883</w:t>
            </w:r>
          </w:p>
        </w:tc>
      </w:tr>
    </w:tbl>
    <w:p>
      <w:pPr>
        <w:pStyle w:val="BodyText"/>
      </w:pPr>
      <w:r>
        <w:rPr>
          <w:b/>
          <w:bCs/>
        </w:rPr>
        <w:t xml:space="preserve">DQN → Double DQN → Dueling DQN (flat assignment env).</w:t>
      </w:r>
      <w:r>
        <w:t xml:space="preserve"> </w:t>
      </w:r>
      <w:r>
        <w:t xml:space="preserve">The figures below are</w:t>
      </w:r>
      <w:r>
        <w:t xml:space="preserve"> </w:t>
      </w:r>
      <w:r>
        <w:t xml:space="preserve">the required ≥3-seed mean±std learning curves for the three flat value-based</w:t>
      </w:r>
      <w:r>
        <w:t xml:space="preserve"> </w:t>
      </w:r>
      <w:r>
        <w:t xml:space="preserve">variants at 600k steps, on both metrics. Double DQN (orange) is the clear winner</w:t>
      </w:r>
      <w:r>
        <w:t xml:space="preserve"> </w:t>
      </w:r>
      <w:r>
        <w:t xml:space="preserve">of the family: lowest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 </w:t>
      </w:r>
      <w:r>
        <w:t xml:space="preserve">with the tightest seed band (~16–22) and</w:t>
      </w:r>
      <w:r>
        <w:t xml:space="preserve"> </w:t>
      </w:r>
      <w:r>
        <w:t xml:space="preserve">the highest</w:t>
      </w:r>
      <w:r>
        <w:t xml:space="preserve"> </w:t>
      </w:r>
      <w:r>
        <w:rPr>
          <w:rStyle w:val="VerbatimChar"/>
        </w:rPr>
        <w:t xml:space="preserve">episode_return</w:t>
      </w:r>
      <w:r>
        <w:t xml:space="preserve">; plain DQN (blue) is noisier and ~5–10 cost worse;</w:t>
      </w:r>
      <w:r>
        <w:t xml:space="preserve"> </w:t>
      </w:r>
      <w:r>
        <w:t xml:space="preserve">Dueling DQN (green) is the weakest — highest cost, lowest return, and the widest</w:t>
      </w:r>
      <w:r>
        <w:t xml:space="preserve"> </w:t>
      </w:r>
      <w:r>
        <w:t xml:space="preserve">±std band (spiking past 40). This ordering is exactly why the flat line was</w:t>
      </w:r>
      <w:r>
        <w:t xml:space="preserve"> </w:t>
      </w:r>
      <w:r>
        <w:t xml:space="preserve">carried forward as Double DQN rather than the dueling variant.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QN vs Double vs Dueling — cost (600k, 3-seed mean±std)" title="" id="12" name="Picture"/>
            <a:graphic>
              <a:graphicData uri="http://schemas.openxmlformats.org/drawingml/2006/picture">
                <pic:pic>
                  <pic:nvPicPr>
                    <pic:cNvPr descr="figures/dqn_family_600k_co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DQN vs Double vs Dueling — cost (600k, 3-seed mean±std)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QN vs Double vs Dueling — return (600k, 3-seed mean±std)" title="" id="15" name="Picture"/>
            <a:graphic>
              <a:graphicData uri="http://schemas.openxmlformats.org/drawingml/2006/picture">
                <pic:pic>
                  <pic:nvPicPr>
                    <pic:cNvPr descr="figures/dqn_family_600k_retur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DQN vs Double vs Dueling — return (600k, 3-seed mean±std)</w:t>
      </w:r>
    </w:p>
    <w:p>
      <w:pPr>
        <w:pStyle w:val="BodyText"/>
      </w:pPr>
      <w:r>
        <w:t xml:space="preserve">Crucially,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of the three flat variants approaches the greedy bar of 4.57:</w:t>
      </w:r>
      <w:r>
        <w:t xml:space="preserve"> </w:t>
      </w:r>
      <w:r>
        <w:t xml:space="preserve">they all plateau around 16–22 cost. Extending the best one (Double DQN) to 3M</w:t>
      </w:r>
      <w:r>
        <w:t xml:space="preserve"> </w:t>
      </w:r>
      <w:r>
        <w:t xml:space="preserve">steps confirms both the ceiling and the failure mode — it dips into a good</w:t>
      </w:r>
      <w:r>
        <w:t xml:space="preserve"> </w:t>
      </w:r>
      <w:r>
        <w:t xml:space="preserve">~9–10 band between roughly 1.0M and 2.0M steps but never stably beats greedy and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diverges back to ~30</w:t>
      </w:r>
      <w:r>
        <w:t xml:space="preserve"> </w:t>
      </w:r>
      <w:r>
        <w:t xml:space="preserve">by 3M. This is the value-based bootstrapping</w:t>
      </w:r>
      <w:r>
        <w:t xml:space="preserve"> </w:t>
      </w:r>
      <w:r>
        <w:t xml:space="preserve">instability that motivated replacing the flat representation with the factored</w:t>
      </w:r>
      <w:r>
        <w:t xml:space="preserve"> </w:t>
      </w:r>
      <w:r>
        <w:t xml:space="preserve">Double DQN.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ouble DQN extended to 3M — good band then divergence (3-seed mean±std)" title="" id="18" name="Picture"/>
            <a:graphic>
              <a:graphicData uri="http://schemas.openxmlformats.org/drawingml/2006/picture">
                <pic:pic>
                  <pic:nvPicPr>
                    <pic:cNvPr descr="figures/double_dqn_3m_cos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Double DQN extended to 3M — good band then divergence (3-seed mean±std)</w:t>
      </w:r>
    </w:p>
    <w:p>
      <w:pPr>
        <w:pStyle w:val="BodyText"/>
      </w:pPr>
      <w:r>
        <w:t xml:space="preserve">The TD learning is not cosmetic on top of the warm start. With 0 TD steps the</w:t>
      </w:r>
      <w:r>
        <w:t xml:space="preserve"> </w:t>
      </w:r>
      <w:r>
        <w:t xml:space="preserve">network is a pure imitation of the Role-C depth-1 planner; it already beats</w:t>
      </w:r>
      <w:r>
        <w:t xml:space="preserve"> </w:t>
      </w:r>
      <w:r>
        <w:t xml:space="preserve">greedy at</w:t>
      </w:r>
      <w:r>
        <w:t xml:space="preserve"> </w:t>
      </w:r>
      <w:r>
        <w:rPr>
          <w:b/>
          <w:bCs/>
        </w:rPr>
        <w:t xml:space="preserve">3.28 ± 0.16</w:t>
      </w:r>
      <w:r>
        <w:t xml:space="preserve">, but Double-DQN training lowers cost to</w:t>
      </w:r>
      <w:r>
        <w:t xml:space="preserve"> </w:t>
      </w:r>
      <w:r>
        <w:rPr>
          <w:b/>
          <w:bCs/>
        </w:rPr>
        <w:t xml:space="preserve">2.29 ± 0.41</w:t>
      </w:r>
      <w:r>
        <w:t xml:space="preserve"> </w:t>
      </w:r>
      <w:r>
        <w:t xml:space="preserve">at 5,000 steps — a consistent ~30% reduction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seed</w:t>
      </w:r>
      <w:r>
        <w:t xml:space="preserve"> </w:t>
      </w:r>
      <w:r>
        <w:t xml:space="preserve">(3.26→1.72, 3.09→2.65, 3.49→2.50), not a single lucky run. The value updates</w:t>
      </w:r>
      <w:r>
        <w:t xml:space="preserve"> </w:t>
      </w:r>
      <w:r>
        <w:t xml:space="preserve">add real improvement over the demonstrator rather than replaying it.</w:t>
      </w:r>
    </w:p>
    <w:p>
      <w:pPr>
        <w:pStyle w:val="BodyText"/>
      </w:pPr>
      <w:r>
        <w:t xml:space="preserve">The weakness is stability, not contribution. Pushing all three seeds to 10,000</w:t>
      </w:r>
      <w:r>
        <w:t xml:space="preserve"> </w:t>
      </w:r>
      <w:r>
        <w:t xml:space="preserve">steps collapses them to ~32 mean cost (26.2, 33.1, 36.3) with negative return.</w:t>
      </w:r>
      <w:r>
        <w:t xml:space="preserve"> </w:t>
      </w:r>
      <w:r>
        <w:t xml:space="preserve">Training guards against this by saving only on validation improvement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save_policy</w:t>
      </w:r>
      <w:r>
        <w:t xml:space="preserve"> </w:t>
      </w:r>
      <w:r>
        <w:t xml:space="preserve">fires when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 </w:t>
      </w:r>
      <w:r>
        <w:t xml:space="preserve">drops), so the saved file is the</w:t>
      </w:r>
      <w:r>
        <w:t xml:space="preserve"> </w:t>
      </w:r>
      <w:r>
        <w:t xml:space="preserve">5,000-step checkpoint by construction — not a manual pick — and re-running</w:t>
      </w:r>
      <w:r>
        <w:t xml:space="preserve"> </w:t>
      </w:r>
      <w:r>
        <w:t xml:space="preserve">training reproduces the same selection. The single saved model (training seed 0)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1.72 ± 0.05</w:t>
      </w:r>
      <w:r>
        <w:t xml:space="preserve"> </w:t>
      </w:r>
      <w:r>
        <w:t xml:space="preserve">over eval seeds 0–2, and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loads exactly that</w:t>
      </w:r>
      <w:r>
        <w:t xml:space="preserve"> </w:t>
      </w:r>
      <w:r>
        <w:t xml:space="preserve">file.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actored Double DQN learning curve" title="" id="21" name="Picture"/>
            <a:graphic>
              <a:graphicData uri="http://schemas.openxmlformats.org/drawingml/2006/picture">
                <pic:pic>
                  <pic:nvPicPr>
                    <pic:cNvPr descr="figures/factored_double_dqn_cur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Factored Double DQN learning curve</w:t>
      </w:r>
    </w:p>
    <w:bookmarkEnd w:id="23"/>
    <w:bookmarkStart w:id="24" w:name="X0ee1ed4a5d51b32f37a57fe654aaa606061b6a2"/>
    <w:p>
      <w:pPr>
        <w:pStyle w:val="Heading3"/>
      </w:pPr>
      <w:r>
        <w:t xml:space="preserve">2.3 Required ablation: target network (on the shipped factored method)</w:t>
      </w:r>
    </w:p>
    <w:p>
      <w:pPr>
        <w:pStyle w:val="FirstParagraph"/>
      </w:pPr>
      <w:r>
        <w:t xml:space="preserve">The required ablation is run on the factored Double DQN we actually ship, not on</w:t>
      </w:r>
      <w:r>
        <w:t xml:space="preserve"> </w:t>
      </w:r>
      <w:r>
        <w:t xml:space="preserve">a discarded flat model. Both runs use the same seed and the identical Role-C</w:t>
      </w:r>
      <w:r>
        <w:t xml:space="preserve"> </w:t>
      </w:r>
      <w:r>
        <w:t xml:space="preserve">warm start (step-0 cost = 3.26); they differ only in the target-network delay —</w:t>
      </w:r>
      <w:r>
        <w:t xml:space="preserve"> </w:t>
      </w:r>
      <w:r>
        <w:t xml:space="preserve">ON copies the online weights to the target every 1,000 steps, OFF copies them</w:t>
      </w:r>
      <w:r>
        <w:t xml:space="preserve"> </w:t>
      </w:r>
      <w:r>
        <w:t xml:space="preserve">every step (no delayed target). Config:</w:t>
      </w:r>
      <w:r>
        <w:t xml:space="preserve"> </w:t>
      </w:r>
      <w:r>
        <w:rPr>
          <w:rStyle w:val="VerbatimChar"/>
        </w:rPr>
        <w:t xml:space="preserve">configs/factored_double_dqn.yaml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configs/factored_double_dqn_notarget.yaml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@ 5k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@ 10k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network ON</w:t>
            </w:r>
            <w:r>
              <w:t xml:space="preserve"> </w:t>
            </w:r>
            <w:r>
              <w:t xml:space="preserve">(shipped)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network 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24.65</w:t>
            </w:r>
          </w:p>
        </w:tc>
      </w:tr>
    </w:tbl>
    <w:p>
      <w:pPr>
        <w:pStyle w:val="BodyText"/>
      </w:pPr>
      <w:r>
        <w:t xml:space="preserve">The effect is decisive. With the delayed target ON, TD training improves the</w:t>
      </w:r>
      <w:r>
        <w:t xml:space="preserve"> </w:t>
      </w:r>
      <w:r>
        <w:t xml:space="preserve">warm start from 3.26 down to</w:t>
      </w:r>
      <w:r>
        <w:t xml:space="preserve"> </w:t>
      </w:r>
      <w:r>
        <w:rPr>
          <w:b/>
          <w:bCs/>
        </w:rPr>
        <w:t xml:space="preserve">1.72</w:t>
      </w:r>
      <w:r>
        <w:t xml:space="preserve"> </w:t>
      </w:r>
      <w:r>
        <w:t xml:space="preserve">(beating greedy) before its late</w:t>
      </w:r>
      <w:r>
        <w:t xml:space="preserve"> </w:t>
      </w:r>
      <w:r>
        <w:t xml:space="preserve">divergence, so a validation checkpoint is recoverable. With it OFF, training</w:t>
      </w:r>
      <w:r>
        <w:t xml:space="preserve"> </w:t>
      </w:r>
      <w:r>
        <w:rPr>
          <w:b/>
          <w:bCs/>
        </w:rPr>
        <w:t xml:space="preserve">immediately destroys</w:t>
      </w:r>
      <w:r>
        <w:t xml:space="preserve"> </w:t>
      </w:r>
      <w:r>
        <w:t xml:space="preserve">the warm start — cost collapses to 26.57 by 5k steps</w:t>
      </w:r>
      <w:r>
        <w:t xml:space="preserve"> </w:t>
      </w:r>
      <w:r>
        <w:t xml:space="preserve">and never recovers, and the factored method produces no greedy-beating</w:t>
      </w:r>
      <w:r>
        <w:t xml:space="preserve"> </w:t>
      </w:r>
      <w:r>
        <w:t xml:space="preserve">checkpoint at all. The delayed target is therefore not a minor stabiliser but a</w:t>
      </w:r>
      <w:r>
        <w:t xml:space="preserve"> </w:t>
      </w:r>
      <w:r>
        <w:t xml:space="preserve">precondition for this method to learn. This isolates bootstrapping instability</w:t>
      </w:r>
      <w:r>
        <w:t xml:space="preserve"> </w:t>
      </w:r>
      <w:r>
        <w:t xml:space="preserve">as the failure mode, and is consistent with the same ablation on the earlier</w:t>
      </w:r>
      <w:r>
        <w:t xml:space="preserve"> </w:t>
      </w:r>
      <w:r>
        <w:t xml:space="preserve">flat Double-DQN (ON also beat OFF there, best 10.19 vs 13.18).</w:t>
      </w:r>
    </w:p>
    <w:bookmarkEnd w:id="24"/>
    <w:bookmarkStart w:id="25" w:name="what-broke"/>
    <w:p>
      <w:pPr>
        <w:pStyle w:val="Heading3"/>
      </w:pPr>
      <w:r>
        <w:t xml:space="preserve">2.4 What broke</w:t>
      </w:r>
    </w:p>
    <w:p>
      <w:pPr>
        <w:pStyle w:val="FirstParagraph"/>
      </w:pPr>
      <w:r>
        <w:t xml:space="preserve">The original flat representation mixed a 20×20 grid with entity rows and a</w:t>
      </w:r>
      <w:r>
        <w:t xml:space="preserve"> </w:t>
      </w:r>
      <w:r>
        <w:t xml:space="preserve">large action head. It learned passive charging/no-op behavior and later</w:t>
      </w:r>
      <w:r>
        <w:t xml:space="preserve"> </w:t>
      </w:r>
      <w:r>
        <w:t xml:space="preserve">diverged. Increasing training to millions of steps did not fix the</w:t>
      </w:r>
      <w:r>
        <w:t xml:space="preserve"> </w:t>
      </w:r>
      <w:r>
        <w:t xml:space="preserve">representation. Factored action scoring supplied the relational information</w:t>
      </w:r>
      <w:r>
        <w:t xml:space="preserve"> </w:t>
      </w:r>
      <w:r>
        <w:t xml:space="preserve">needed for assignment. Even then, TD learning could destroy a good warm start,</w:t>
      </w:r>
      <w:r>
        <w:t xml:space="preserve"> </w:t>
      </w:r>
      <w:r>
        <w:t xml:space="preserve">which is why validation checkpoints and three training seeds are reported.</w:t>
      </w:r>
    </w:p>
    <w:p>
      <w:pPr>
        <w:pStyle w:val="BodyText"/>
      </w:pPr>
      <w:r>
        <w:t xml:space="preserve">On individual ownership: the warm start borrows the Role-C planner as a</w:t>
      </w:r>
      <w:r>
        <w:t xml:space="preserve"> </w:t>
      </w:r>
      <w:r>
        <w:t xml:space="preserve">demonstrator, so the warm-start number (3.28) is not independent of Role C. The</w:t>
      </w:r>
      <w:r>
        <w:t xml:space="preserve"> </w:t>
      </w:r>
      <w:r>
        <w:t xml:space="preserve">individually-owned value-based contribution is the rest — the factored action</w:t>
      </w:r>
      <w:r>
        <w:t xml:space="preserve"> </w:t>
      </w:r>
      <w:r>
        <w:t xml:space="preserve">architecture, the</w:t>
      </w:r>
      <w:r>
        <w:t xml:space="preserve"> </w:t>
      </w:r>
      <w:r>
        <w:rPr>
          <w:b/>
          <w:bCs/>
        </w:rPr>
        <w:t xml:space="preserve">3.28 → 2.29 improvement the Double-DQN updates produce in</w:t>
      </w:r>
      <w:r>
        <w:rPr>
          <w:b/>
          <w:bCs/>
        </w:rPr>
        <w:t xml:space="preserve"> </w:t>
      </w:r>
      <w:r>
        <w:rPr>
          <w:b/>
          <w:bCs/>
        </w:rPr>
        <w:t xml:space="preserve">every seed</w:t>
      </w:r>
      <w:r>
        <w:t xml:space="preserve">, and the instability-and-checkpointing diagnosis. Presenting the</w:t>
      </w:r>
      <w:r>
        <w:t xml:space="preserve"> </w:t>
      </w:r>
      <w:r>
        <w:t xml:space="preserve">warm start honestly is deliberate; the value learning is what is defended here.</w:t>
      </w:r>
    </w:p>
    <w:bookmarkEnd w:id="25"/>
    <w:bookmarkStart w:id="26" w:name="Xcc56ef3937b5eea524b1fd75b67df6ed3c929b1"/>
    <w:p>
      <w:pPr>
        <w:pStyle w:val="Heading3"/>
      </w:pPr>
      <w:r>
        <w:t xml:space="preserve">2.5 Held-out robustness and why the flat architecture fails</w:t>
      </w:r>
    </w:p>
    <w:p>
      <w:pPr>
        <w:pStyle w:val="FirstParagraph"/>
      </w:pPr>
      <w:r>
        <w:t xml:space="preserve">To check that the factored policy is not tuned to eval seeds 0–2, we ran the</w:t>
      </w:r>
      <w:r>
        <w:t xml:space="preserve"> </w:t>
      </w:r>
      <w:r>
        <w:t xml:space="preserve">saved model on held-out seeds 5–7 it never saw during development. It scores</w:t>
      </w:r>
      <w:r>
        <w:t xml:space="preserve"> </w:t>
      </w:r>
      <w:r>
        <w:rPr>
          <w:b/>
          <w:bCs/>
        </w:rPr>
        <w:t xml:space="preserve">1.69 ± 0.67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3.19 ± 0.51</w:t>
      </w:r>
      <w:r>
        <w:t xml:space="preserve"> </w:t>
      </w:r>
      <w:r>
        <w:t xml:space="preserve">— essentially the</w:t>
      </w:r>
      <w:r>
        <w:t xml:space="preserve"> </w:t>
      </w:r>
      <w:r>
        <w:t xml:space="preserve">same as on the tuned seeds (1.72), so it generalizes rather than overfits. On</w:t>
      </w:r>
      <w:r>
        <w:t xml:space="preserve"> </w:t>
      </w:r>
      <w:r>
        <w:t xml:space="preserve">the held-out</w:t>
      </w:r>
      <w:r>
        <w:t xml:space="preserve"> </w:t>
      </w:r>
      <w:r>
        <w:rPr>
          <w:b/>
          <w:bCs/>
        </w:rPr>
        <w:t xml:space="preserve">stress config</w:t>
      </w:r>
      <w:r>
        <w:t xml:space="preserve"> </w:t>
      </w:r>
      <w:r>
        <w:t xml:space="preserve">(24×24 grid,</w:t>
      </w:r>
      <w:r>
        <w:t xml:space="preserve"> </w:t>
      </w:r>
      <w:r>
        <w:rPr>
          <w:rStyle w:val="VerbatimChar"/>
        </w:rPr>
        <w:t xml:space="preserve">k_max=28</w:t>
      </w:r>
      <w:r>
        <w:t xml:space="preserve">, higher demand, tighter</w:t>
      </w:r>
      <w:r>
        <w:t xml:space="preserve"> </w:t>
      </w:r>
      <w:r>
        <w:t xml:space="preserve">deadlines) the same weights still beat greedy,</w:t>
      </w:r>
      <w:r>
        <w:t xml:space="preserve"> </w:t>
      </w:r>
      <w:r>
        <w:rPr>
          <w:b/>
          <w:bCs/>
        </w:rPr>
        <w:t xml:space="preserve">11.19 ± 0.56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12.02 ±</w:t>
      </w:r>
      <w:r>
        <w:rPr>
          <w:b/>
          <w:bCs/>
        </w:rPr>
        <w:t xml:space="preserve"> </w:t>
      </w:r>
      <w:r>
        <w:rPr>
          <w:b/>
          <w:bCs/>
        </w:rPr>
        <w:t xml:space="preserve">1.12</w:t>
      </w:r>
      <w:r>
        <w:t xml:space="preserve">, because the factored network’s parameters do not depend on grid size or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. The flat DQN/Double/Dueling models, by contrast, are</w:t>
      </w:r>
      <w:r>
        <w:t xml:space="preserve"> </w:t>
      </w:r>
      <w:r>
        <w:rPr>
          <w:b/>
          <w:bCs/>
        </w:rPr>
        <w:t xml:space="preserve">config-</w:t>
      </w:r>
      <w:r>
        <w:rPr>
          <w:b/>
          <w:bCs/>
        </w:rPr>
        <w:t xml:space="preserve"> </w:t>
      </w:r>
      <w:r>
        <w:rPr>
          <w:b/>
          <w:bCs/>
        </w:rPr>
        <w:t xml:space="preserve">incompatible</w:t>
      </w:r>
      <w:r>
        <w:t xml:space="preserve"> </w:t>
      </w:r>
      <w:r>
        <w:t xml:space="preserve">there: their hard-wired flat observation and</w:t>
      </w:r>
      <w:r>
        <w:t xml:space="preserve"> </w:t>
      </w:r>
      <w:r>
        <w:rPr>
          <w:rStyle w:val="VerbatimChar"/>
        </w:rPr>
        <w:t xml:space="preserve">N·K_max+N+1</w:t>
      </w:r>
      <w:r>
        <w:t xml:space="preserve"> </w:t>
      </w:r>
      <w:r>
        <w:t xml:space="preserve">action head cannot even load on a different grid, so they fail the</w:t>
      </w:r>
      <w:r>
        <w:t xml:space="preserve"> </w:t>
      </w:r>
      <w:r>
        <w:t xml:space="preserve">dimension-robustness test outright.</w:t>
      </w:r>
    </w:p>
    <w:p>
      <w:pPr>
        <w:pStyle w:val="BodyText"/>
      </w:pPr>
      <w:r>
        <w:t xml:space="preserve">This failure mode is not specific to our environment. A review of the</w:t>
      </w:r>
      <w:r>
        <w:t xml:space="preserve"> </w:t>
      </w:r>
      <w:r>
        <w:t xml:space="preserve">literature shows it is a known limitation of value-based methods: as the number</w:t>
      </w:r>
      <w:r>
        <w:t xml:space="preserve"> </w:t>
      </w:r>
      <w:r>
        <w:t xml:space="preserve">of discrete actions grows, a flat Q-head loses the ability to generalize across</w:t>
      </w:r>
      <w:r>
        <w:t xml:space="preserve"> </w:t>
      </w:r>
      <w:r>
        <w:t xml:space="preserve">actions and its complexity scales linearly with the action count (Dulac-Arnold</w:t>
      </w:r>
      <w:r>
        <w:t xml:space="preserve"> </w:t>
      </w:r>
      <w:r>
        <w:t xml:space="preserve">et al., 2015). The standard remedy is exactly what fixed our case — structured /</w:t>
      </w:r>
      <w:r>
        <w:t xml:space="preserve"> </w:t>
      </w:r>
      <w:r>
        <w:t xml:space="preserve">factored action representations that exploit the compositional structure of the</w:t>
      </w:r>
      <w:r>
        <w:t xml:space="preserve"> </w:t>
      </w:r>
      <w:r>
        <w:t xml:space="preserve">action space, which have been shown to improve substantially over flat</w:t>
      </w:r>
      <w:r>
        <w:t xml:space="preserve"> </w:t>
      </w:r>
      <w:r>
        <w:t xml:space="preserve">baselines (Sharma et al., 2017). Our flat-vs-factored result is a concrete</w:t>
      </w:r>
      <w:r>
        <w:t xml:space="preserve"> </w:t>
      </w:r>
      <w:r>
        <w:t xml:space="preserve">instance of this published pattern.</w:t>
      </w:r>
    </w:p>
    <w:bookmarkEnd w:id="26"/>
    <w:bookmarkEnd w:id="27"/>
    <w:bookmarkStart w:id="41" w:name="role-b-policy-based-methods-ozan-karhan"/>
    <w:p>
      <w:pPr>
        <w:pStyle w:val="Heading2"/>
      </w:pPr>
      <w:r>
        <w:t xml:space="preserve">3. Role B — Policy-based methods (Ozan Karhan)</w:t>
      </w:r>
    </w:p>
    <w:bookmarkStart w:id="28" w:name="methods-1"/>
    <w:p>
      <w:pPr>
        <w:pStyle w:val="Heading3"/>
      </w:pPr>
      <w:r>
        <w:t xml:space="preserve">3.1 Methods</w:t>
      </w:r>
    </w:p>
    <w:p>
      <w:pPr>
        <w:pStyle w:val="FirstParagraph"/>
      </w:pPr>
      <w:r>
        <w:t xml:space="preserve">All dispatch methods share a</w:t>
      </w:r>
      <w:r>
        <w:t xml:space="preserve"> </w:t>
      </w:r>
      <w:r>
        <w:rPr>
          <w:b/>
          <w:bCs/>
        </w:rPr>
        <w:t xml:space="preserve">factored, permutation-invariant</w:t>
      </w:r>
      <w:r>
        <w:t xml:space="preserve"> </w:t>
      </w:r>
      <w:r>
        <w:t xml:space="preserve">actor-critic</w:t>
      </w:r>
      <w:r>
        <w:t xml:space="preserve"> </w:t>
      </w:r>
      <w:r>
        <w:t xml:space="preserve">whose parameters do not depend on the action count, so the same weights load on</w:t>
      </w:r>
      <w:r>
        <w:t xml:space="preserve"> </w:t>
      </w:r>
      <w:r>
        <w:t xml:space="preserve">a held-out config with a different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or grid size. Per-(drone, order)</w:t>
      </w:r>
      <w:r>
        <w:t xml:space="preserve"> </w:t>
      </w:r>
      <w:r>
        <w:t xml:space="preserve">features include the no-fly-aware BFS routed distance (drone→pickup,</w:t>
      </w:r>
      <w:r>
        <w:t xml:space="preserve"> </w:t>
      </w:r>
      <w:r>
        <w:t xml:space="preserve">pickup→dropoff), deadline feasibility, and battery feasibility, computed 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obs["grid"]</w:t>
      </w:r>
      <w:r>
        <w:t xml:space="preserve"> </w:t>
      </w:r>
      <w:r>
        <w:t xml:space="preserve">via a self-contained router (</w:t>
      </w:r>
      <w:r>
        <w:rPr>
          <w:rStyle w:val="VerbatimChar"/>
        </w:rPr>
        <w:t xml:space="preserve">code/role_b/routing.py</w:t>
      </w:r>
      <w:r>
        <w:t xml:space="preserve">), so</w:t>
      </w:r>
      <w:r>
        <w:t xml:space="preserve"> </w:t>
      </w:r>
      <w:r>
        <w:t xml:space="preserve">the policy sees the same distance information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uses.</w:t>
      </w:r>
    </w:p>
    <w:p>
      <w:pPr>
        <w:pStyle w:val="BodyText"/>
      </w:pPr>
      <w:r>
        <w:t xml:space="preserve">REINFORCE uses likelihood-ratio policy gradients with a learned GAE value</w:t>
      </w:r>
      <w:r>
        <w:t xml:space="preserve"> </w:t>
      </w:r>
      <w:r>
        <w:t xml:space="preserve">baseline; A2C uses the same network but bootstraps fixed-length rollouts from</w:t>
      </w:r>
      <w:r>
        <w:t xml:space="preserve"> </w:t>
      </w:r>
      <w:r>
        <w:t xml:space="preserve">the critic, cutting variance. Invalid dispatch actions are masked. DDPG uses a</w:t>
      </w:r>
      <w:r>
        <w:t xml:space="preserve"> </w:t>
      </w:r>
      <w:r>
        <w:t xml:space="preserve">deterministic continuous actor (speed, heading), a Q critic, target networks</w:t>
      </w:r>
      <w:r>
        <w:t xml:space="preserve"> </w:t>
      </w:r>
      <w:r>
        <w:t xml:space="preserve">with Polyak averaging, replay, and decaying Ornstein–Uhlenbeck exploration on</w:t>
      </w:r>
      <w:r>
        <w:t xml:space="preserve"> </w:t>
      </w:r>
      <w:r>
        <w:rPr>
          <w:rStyle w:val="VerbatimChar"/>
        </w:rPr>
        <w:t xml:space="preserve">DroneControl-v0</w:t>
      </w:r>
      <w:r>
        <w:t xml:space="preserve">, with an optional TD3 stabiliser (clipped double-Q, target</w:t>
      </w:r>
      <w:r>
        <w:t xml:space="preserve"> </w:t>
      </w:r>
      <w:r>
        <w:t xml:space="preserve">smoothing, delayed updates).</w:t>
      </w:r>
    </w:p>
    <w:bookmarkEnd w:id="28"/>
    <w:bookmarkStart w:id="32" w:name="dispatch-results"/>
    <w:p>
      <w:pPr>
        <w:pStyle w:val="Heading3"/>
      </w:pPr>
      <w:r>
        <w:t xml:space="preserve">3.2 Dispatch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mean ±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 + GAE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 ± 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1.09 ± 0.43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0.976</w:t>
            </w:r>
          </w:p>
        </w:tc>
      </w:tr>
    </w:tbl>
    <w:p>
      <w:pPr>
        <w:pStyle w:val="BodyText"/>
      </w:pPr>
      <w:r>
        <w:t xml:space="preserve">Both beat greedy (4.57) decisively. A2C reaches the lowest cost with the least</w:t>
      </w:r>
      <w:r>
        <w:t xml:space="preserve"> </w:t>
      </w:r>
      <w:r>
        <w:t xml:space="preserve">compute — the textbook payoff of bootstrapping over high-variance Monte-Carlo</w:t>
      </w:r>
      <w:r>
        <w:t xml:space="preserve"> </w:t>
      </w:r>
      <w:r>
        <w:t xml:space="preserve">returns. Across the three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seeds the saved models give A2C</w:t>
      </w:r>
      <w:r>
        <w:t xml:space="preserve"> </w:t>
      </w:r>
      <w:r>
        <w:rPr>
          <w:b/>
          <w:bCs/>
        </w:rPr>
        <w:t xml:space="preserve">1.55 ± 0.21</w:t>
      </w:r>
      <w:r>
        <w:t xml:space="preserve"> </w:t>
      </w:r>
      <w:r>
        <w:t xml:space="preserve">and REINFORCE</w:t>
      </w:r>
      <w:r>
        <w:t xml:space="preserve"> </w:t>
      </w:r>
      <w:r>
        <w:rPr>
          <w:b/>
          <w:bCs/>
        </w:rPr>
        <w:t xml:space="preserve">2.65 ± 0.09</w:t>
      </w:r>
      <w:r>
        <w:t xml:space="preserve">, both beating greedy on every</w:t>
      </w:r>
      <w:r>
        <w:t xml:space="preserve"> </w:t>
      </w:r>
      <w:r>
        <w:t xml:space="preserve">seed. REINFORCE was previously seed-sensitive (only ~1/3 of seeds delivered);</w:t>
      </w:r>
      <w:r>
        <w:t xml:space="preserve"> </w:t>
      </w:r>
      <w:r>
        <w:t xml:space="preserve">a behavior-cloning warm-start of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puts every seed in the</w:t>
      </w:r>
      <w:r>
        <w:t xml:space="preserve"> </w:t>
      </w:r>
      <w:r>
        <w:t xml:space="preserve">delivering regime, after which REINFORCE reliably refines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greedy. A2C</w:t>
      </w:r>
      <w:r>
        <w:t xml:space="preserve"> </w:t>
      </w:r>
      <w:r>
        <w:t xml:space="preserve">needs no warm-start — its bootstrapped advantages are already low-variance.</w:t>
      </w:r>
    </w:p>
    <w:p>
      <w:pPr>
        <w:pStyle w:val="CaptionedFigure"/>
      </w:pPr>
      <w:r>
        <w:drawing>
          <wp:inline>
            <wp:extent cx="5334000" cy="2000249"/>
            <wp:effectExtent b="0" l="0" r="0" t="0"/>
            <wp:docPr descr="Role B dispatch curves" title="" id="30" name="Picture"/>
            <a:graphic>
              <a:graphicData uri="http://schemas.openxmlformats.org/drawingml/2006/picture">
                <pic:pic>
                  <pic:nvPicPr>
                    <pic:cNvPr descr="figures/dispatch_curv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 B dispatch curves</w:t>
      </w:r>
    </w:p>
    <w:bookmarkEnd w:id="32"/>
    <w:bookmarkStart w:id="36" w:name="required-ablation-gae-λ"/>
    <w:p>
      <w:pPr>
        <w:pStyle w:val="Heading3"/>
      </w:pPr>
      <w:r>
        <w:t xml:space="preserve">3.3 Required ablation: GAE λ</w:t>
      </w:r>
    </w:p>
    <w:p>
      <w:pPr>
        <w:pStyle w:val="FirstParagraph"/>
      </w:pPr>
      <w:r>
        <w:t xml:space="preserve">The A2C sweep used λ ∈ {0, 0.9, 0.95, 0.99, 1.0},</w:t>
      </w:r>
      <w:r>
        <w:t xml:space="preserve"> </w:t>
      </w:r>
      <w:r>
        <w:rPr>
          <w:b/>
          <w:bCs/>
        </w:rPr>
        <w:t xml:space="preserve">three training seeds</w:t>
      </w:r>
      <w:r>
        <w:t xml:space="preserve">, and</w:t>
      </w:r>
      <w:r>
        <w:t xml:space="preserve"> </w:t>
      </w:r>
      <w:r>
        <w:t xml:space="preserve">a 40k-step budget.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best validation cost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</w:tr>
    </w:tbl>
    <w:p>
      <w:pPr>
        <w:pStyle w:val="BodyText"/>
      </w:pPr>
      <w:r>
        <w:t xml:space="preserve">This is the textbook bias/variance tradeoff. λ = 0 (one-step TD) is too myopic</w:t>
      </w:r>
      <w:r>
        <w:t xml:space="preserve"> </w:t>
      </w:r>
      <w:r>
        <w:t xml:space="preserve">and never beats greedy (13.85); λ = 0.9–0.95 balances bias and variance and is</w:t>
      </w:r>
      <w:r>
        <w:t xml:space="preserve"> </w:t>
      </w:r>
      <w:r>
        <w:t xml:space="preserve">optimal (≈0.69); λ = 1.0 (the Monte-Carlo advantage, unbiased but</w:t>
      </w:r>
      <w:r>
        <w:t xml:space="preserve"> </w:t>
      </w:r>
      <w:r>
        <w:t xml:space="preserve">high-variance) degrades it again (1.11). This validates the GAE(0.95) default</w:t>
      </w:r>
      <w:r>
        <w:t xml:space="preserve"> </w:t>
      </w:r>
      <w:r>
        <w:t xml:space="preserve">used for the headline A2C and REINFORCE runs.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GAE ablation" title="" id="34" name="Picture"/>
            <a:graphic>
              <a:graphicData uri="http://schemas.openxmlformats.org/drawingml/2006/picture">
                <pic:pic>
                  <pic:nvPicPr>
                    <pic:cNvPr descr="figures/ablation_ga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GAE ablation</w:t>
      </w:r>
    </w:p>
    <w:bookmarkEnd w:id="36"/>
    <w:bookmarkStart w:id="40" w:name="ddpg-result"/>
    <w:p>
      <w:pPr>
        <w:pStyle w:val="Heading3"/>
      </w:pPr>
      <w:r>
        <w:t xml:space="preserve">3.4 DDPG result</w:t>
      </w:r>
    </w:p>
    <w:p>
      <w:pPr>
        <w:pStyle w:val="FirstParagraph"/>
      </w:pPr>
      <w:r>
        <w:t xml:space="preserve">DDPG now</w:t>
      </w:r>
      <w:r>
        <w:t xml:space="preserve"> </w:t>
      </w:r>
      <w:r>
        <w:rPr>
          <w:b/>
          <w:bCs/>
        </w:rPr>
        <w:t xml:space="preserve">beats go-straight decisively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DroneControl-v0</w:t>
      </w:r>
      <w:r>
        <w:t xml:space="preserve">. Over seeds 0–4</w:t>
      </w:r>
      <w:r>
        <w:t xml:space="preserve"> </w:t>
      </w:r>
      <w:r>
        <w:t xml:space="preserve">it reaches the target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eval episode (success</w:t>
      </w:r>
      <w:r>
        <w:t xml:space="preserve"> </w:t>
      </w:r>
      <w:r>
        <w:rPr>
          <w:b/>
          <w:bCs/>
        </w:rPr>
        <w:t xml:space="preserve">1.00</w:t>
      </w:r>
      <w:r>
        <w:t xml:space="preserve">, return</w:t>
      </w:r>
      <w:r>
        <w:t xml:space="preserve"> </w:t>
      </w:r>
      <w:r>
        <w:rPr>
          <w:b/>
          <w:bCs/>
        </w:rPr>
        <w:t xml:space="preserve">+20.70</w:t>
      </w:r>
      <w:r>
        <w:t xml:space="preserve">), while go-straight crashes into no-fly cells (−25 each) and scores</w:t>
      </w:r>
      <w:r>
        <w:t xml:space="preserve"> </w:t>
      </w:r>
      <w:r>
        <w:t xml:space="preserve">return</w:t>
      </w:r>
      <w:r>
        <w:t xml:space="preserve"> </w:t>
      </w:r>
      <w:r>
        <w:rPr>
          <w:b/>
          <w:bCs/>
        </w:rPr>
        <w:t xml:space="preserve">−417.43</w:t>
      </w:r>
      <w:r>
        <w:t xml:space="preserve">, success 0.80. On the validation pool (seeds 200–204) the</w:t>
      </w:r>
      <w:r>
        <w:t xml:space="preserve"> </w:t>
      </w:r>
      <w:r>
        <w:t xml:space="preserve">gap is the same: DDPG +12.72 / 1.00 vs go-straight −871.52 / 0.60.</w:t>
      </w:r>
    </w:p>
    <w:p>
      <w:pPr>
        <w:pStyle w:val="BodyText"/>
      </w:pPr>
      <w:r>
        <w:t xml:space="preserve">The comparison only collapses on the three</w:t>
      </w:r>
      <w:r>
        <w:t xml:space="preserve"> </w:t>
      </w:r>
      <w:r>
        <w:t xml:space="preserve">“easy”</w:t>
      </w:r>
      <w:r>
        <w:t xml:space="preserve"> </w:t>
      </w:r>
      <w:r>
        <w:t xml:space="preserve">seeds 0–2, where a straight</w:t>
      </w:r>
      <w:r>
        <w:t xml:space="preserve"> </w:t>
      </w:r>
      <w:r>
        <w:t xml:space="preserve">path is unobstructed and both controllers reach 100% success (go-straight 26.37,</w:t>
      </w:r>
      <w:r>
        <w:t xml:space="preserve"> </w:t>
      </w:r>
      <w:r>
        <w:t xml:space="preserve">DDPG 25.91); the moment a wall lies on the path, go-straight fails and the</w:t>
      </w:r>
      <w:r>
        <w:t xml:space="preserve"> </w:t>
      </w:r>
      <w:r>
        <w:t xml:space="preserve">learned obstacle-avoiding DDPG wins. Two fixes were decisive: selecting the</w:t>
      </w:r>
      <w:r>
        <w:t xml:space="preserve"> </w:t>
      </w:r>
      <w:r>
        <w:t xml:space="preserve">checkpoint on validation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rather than return (the target-reaching</w:t>
      </w:r>
      <w:r>
        <w:t xml:space="preserve"> </w:t>
      </w:r>
      <w:r>
        <w:t xml:space="preserve">policy appears late in training and was previously discarded), and decaying OU</w:t>
      </w:r>
      <w:r>
        <w:t xml:space="preserve"> </w:t>
      </w:r>
      <w:r>
        <w:t xml:space="preserve">exploration with a minimum-speed floor; an optional TD3 variant reaches the same</w:t>
      </w:r>
      <w:r>
        <w:t xml:space="preserve"> </w:t>
      </w:r>
      <w:r>
        <w:t xml:space="preserve">100% success with lower across-seed variance.</w:t>
      </w:r>
    </w:p>
    <w:p>
      <w:pPr>
        <w:pStyle w:val="BodyText"/>
      </w:pPr>
      <w:r>
        <w:t xml:space="preserve">A separate engineering fix carried both dispatch methods: reward scaling ×0.1</w:t>
      </w:r>
      <w:r>
        <w:t xml:space="preserve"> </w:t>
      </w:r>
      <w:r>
        <w:t xml:space="preserve">plus a Huber value loss. Unscaled targets produced value losses around 25,000</w:t>
      </w:r>
      <w:r>
        <w:t xml:space="preserve"> </w:t>
      </w:r>
      <w:r>
        <w:t xml:space="preserve">that drowned the policy gradient, so the agent never learned to charge; with the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value_loss</w:t>
      </w:r>
      <w:r>
        <w:t xml:space="preserve"> </w:t>
      </w:r>
      <w:r>
        <w:t xml:space="preserve">dropped to ≈5 and A2C beat greedy within ~10k steps.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DDPG vs go-straight on DroneControl-v0" title="" id="38" name="Picture"/>
            <a:graphic>
              <a:graphicData uri="http://schemas.openxmlformats.org/drawingml/2006/picture">
                <pic:pic>
                  <pic:nvPicPr>
                    <pic:cNvPr descr="figures/ddpg_cur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DDPG vs go-straight on DroneControl-v0</w:t>
      </w:r>
    </w:p>
    <w:bookmarkEnd w:id="40"/>
    <w:bookmarkEnd w:id="41"/>
    <w:bookmarkStart w:id="42" w:name="role-c-planning-tuba-nur-büyükata"/>
    <w:p>
      <w:pPr>
        <w:pStyle w:val="Heading2"/>
      </w:pPr>
      <w:r>
        <w:t xml:space="preserve">4. Role C — Planning (Tuba Nur Büyükata)</w:t>
      </w:r>
    </w:p>
    <w:p>
      <w:pPr>
        <w:pStyle w:val="FirstParagraph"/>
      </w:pPr>
      <w:r>
        <w:t xml:space="preserve">Role C implements a deterministic decision-time planner. It evaluates every</w:t>
      </w:r>
      <w:r>
        <w:t xml:space="preserve"> </w:t>
      </w:r>
      <w:r>
        <w:t xml:space="preserve">valid assignment using routed pickup distance, full delivery distance,</w:t>
      </w:r>
      <w:r>
        <w:t xml:space="preserve"> </w:t>
      </w:r>
      <w:r>
        <w:t xml:space="preserve">remaining deadline, battery shortfall, order age, and charging readiness.</w:t>
      </w:r>
      <w:r>
        <w:t xml:space="preserve"> </w:t>
      </w:r>
      <w:r>
        <w:t xml:space="preserve">All coefficients are stored in</w:t>
      </w:r>
      <w:r>
        <w:t xml:space="preserve"> </w:t>
      </w:r>
      <w:r>
        <w:rPr>
          <w:rStyle w:val="VerbatimChar"/>
        </w:rPr>
        <w:t xml:space="preserve">configs/role_c_rollout.yaml</w:t>
      </w:r>
      <w:r>
        <w:t xml:space="preserve">. Routed distances</w:t>
      </w:r>
      <w:r>
        <w:t xml:space="preserve"> </w:t>
      </w:r>
      <w:r>
        <w:t xml:space="preserve">are computed by student-side BFS using only the frozen observation grid.</w:t>
      </w:r>
    </w:p>
    <w:p>
      <w:pPr>
        <w:pStyle w:val="BodyText"/>
      </w:pPr>
      <w:r>
        <w:t xml:space="preserve">The depth ablation is:</w:t>
      </w:r>
    </w:p>
    <w:p>
      <w:pPr>
        <w:pStyle w:val="Compact"/>
        <w:numPr>
          <w:ilvl w:val="0"/>
          <w:numId w:val="1001"/>
        </w:numPr>
      </w:pPr>
      <w:r>
        <w:t xml:space="preserve">depth 0: nearest-pickup rule with a battery guard;</w:t>
      </w:r>
    </w:p>
    <w:p>
      <w:pPr>
        <w:pStyle w:val="Compact"/>
        <w:numPr>
          <w:ilvl w:val="0"/>
          <w:numId w:val="1001"/>
        </w:numPr>
      </w:pPr>
      <w:r>
        <w:t xml:space="preserve">depth 1: adds delivery distance, deadline risk, and battery feasibility;</w:t>
      </w:r>
    </w:p>
    <w:p>
      <w:pPr>
        <w:pStyle w:val="Compact"/>
        <w:numPr>
          <w:ilvl w:val="0"/>
          <w:numId w:val="1001"/>
        </w:numPr>
      </w:pPr>
      <w:r>
        <w:t xml:space="preserve">depth 2: adds post-delivery distance to a charger.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124.3</w:t>
            </w:r>
          </w:p>
        </w:tc>
      </w:tr>
    </w:tbl>
    <w:p>
      <w:pPr>
        <w:pStyle w:val="BodyText"/>
      </w:pPr>
      <w:r>
        <w:t xml:space="preserve">Depth 1 is selected. Depth 2 is more conservative and sacrifices good current</w:t>
      </w:r>
      <w:r>
        <w:t xml:space="preserve"> </w:t>
      </w:r>
      <w:r>
        <w:t xml:space="preserve">assignments for future charger proximity. The implementation is a shallow</w:t>
      </w:r>
      <w:r>
        <w:t xml:space="preserve"> </w:t>
      </w:r>
      <w:r>
        <w:t xml:space="preserve">rollout-style scoring planner, not a full cloned-state MCTS tree; this is a</w:t>
      </w:r>
      <w:r>
        <w:t xml:space="preserve"> </w:t>
      </w:r>
      <w:r>
        <w:t xml:space="preserve">deliberate limitation and is stated explicitly.</w:t>
      </w:r>
    </w:p>
    <w:bookmarkEnd w:id="42"/>
    <w:bookmarkStart w:id="46" w:name="joint-component-offline-rl"/>
    <w:p>
      <w:pPr>
        <w:pStyle w:val="Heading2"/>
      </w:pPr>
      <w:r>
        <w:t xml:space="preserve">5. Joint component — Offline RL</w:t>
      </w:r>
    </w:p>
    <w:p>
      <w:pPr>
        <w:pStyle w:val="FirstParagraph"/>
      </w:pPr>
      <w:r>
        <w:t xml:space="preserve">The pooled dataset contains</w:t>
      </w:r>
      <w:r>
        <w:t xml:space="preserve"> </w:t>
      </w:r>
      <w:r>
        <w:rPr>
          <w:b/>
          <w:bCs/>
        </w:rPr>
        <w:t xml:space="preserve">420,103 transitions from 3,969 episodes</w:t>
      </w:r>
      <w:r>
        <w:t xml:space="preserve">. Its</w:t>
      </w:r>
      <w:r>
        <w:t xml:space="preserve"> </w:t>
      </w:r>
      <w:r>
        <w:t xml:space="preserve">checksum and validation command are in</w:t>
      </w:r>
      <w:r>
        <w:t xml:space="preserve"> </w:t>
      </w:r>
      <w:r>
        <w:rPr>
          <w:rStyle w:val="VerbatimChar"/>
        </w:rPr>
        <w:t xml:space="preserve">DATASET.md</w:t>
      </w:r>
      <w:r>
        <w:t xml:space="preserve">. It combines trajectories</w:t>
      </w:r>
      <w:r>
        <w:t xml:space="preserve"> </w:t>
      </w:r>
      <w:r>
        <w:t xml:space="preserve">from all three role policies and includes mixed-quality behavior.</w:t>
      </w:r>
    </w:p>
    <w:p>
      <w:pPr>
        <w:pStyle w:val="BodyText"/>
      </w:pPr>
      <w:r>
        <w:t xml:space="preserve">Naive offline DQN performs Bellman regression over the static data. Because the</w:t>
      </w:r>
      <w:r>
        <w:t xml:space="preserve"> </w:t>
      </w:r>
      <w:r>
        <w:t xml:space="preserve">dataset does not store masks, its maximum ranges over all 169 actions,</w:t>
      </w:r>
      <w:r>
        <w:t xml:space="preserve"> </w:t>
      </w:r>
      <w:r>
        <w:t xml:space="preserve">including unsupported actions. CQL adds</w:t>
      </w:r>
      <w:r>
        <w:t xml:space="preserve"> </w:t>
      </w:r>
      <w:r>
        <w:rPr>
          <w:rStyle w:val="VerbatimChar"/>
        </w:rPr>
        <w:t xml:space="preserve">α(logsumexp Q(s,a) − Q(s,a_data))</w:t>
      </w:r>
      <w:r>
        <w:t xml:space="preserve">; BC directly clones logged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3 training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18.45 ± 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 ± 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offline DQN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13.96 ± 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 ± 0.055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7.06 ± 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0.717 ± 0.030</w:t>
            </w:r>
          </w:p>
        </w:tc>
      </w:tr>
    </w:tbl>
    <w:p>
      <w:pPr>
        <w:pStyle w:val="BodyText"/>
      </w:pPr>
      <w:r>
        <w:t xml:space="preserve">CQL beats both required offline baselines. The selected CQL seed scores 5.72.</w:t>
      </w:r>
      <w:r>
        <w:t xml:space="preserve"> </w:t>
      </w:r>
      <w:r>
        <w:t xml:space="preserve">Naive final maximum Q-values were approximately 6,785, 4,170, and 5,982;</w:t>
      </w:r>
      <w:r>
        <w:t xml:space="preserve"> </w:t>
      </w:r>
      <w:r>
        <w:t xml:space="preserve">CQL reduced them to 839, 792, and 745. Thus the OOD over-estimation failure is</w:t>
      </w:r>
      <w:r>
        <w:t xml:space="preserve"> </w:t>
      </w:r>
      <w:r>
        <w:t xml:space="preserve">visible in every training seed, not only in one lucky run.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Offline naive-DQN Q-value divergence vs CQL" title="" id="44" name="Picture"/>
            <a:graphic>
              <a:graphicData uri="http://schemas.openxmlformats.org/drawingml/2006/picture">
                <pic:pic>
                  <pic:nvPicPr>
                    <pic:cNvPr descr="figures/offline_q_diverge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naive-DQN Q-value divergence vs CQL</w:t>
      </w:r>
    </w:p>
    <w:p>
      <w:pPr>
        <w:pStyle w:val="BodyText"/>
      </w:pPr>
      <w:r>
        <w:t xml:space="preserve">The figure plots</w:t>
      </w:r>
      <w:r>
        <w:t xml:space="preserve"> </w:t>
      </w:r>
      <w:r>
        <w:rPr>
          <w:rStyle w:val="VerbatimChar"/>
        </w:rPr>
        <w:t xml:space="preserve">max Q</w:t>
      </w:r>
      <w:r>
        <w:t xml:space="preserve"> </w:t>
      </w:r>
      <w:r>
        <w:t xml:space="preserve">over training (seed 0, representative): naive Bellman</w:t>
      </w:r>
      <w:r>
        <w:t xml:space="preserve"> </w:t>
      </w:r>
      <w:r>
        <w:t xml:space="preserve">regression climbs past 6,000 as it bootstraps from over-optimistic</w:t>
      </w:r>
      <w:r>
        <w:t xml:space="preserve"> </w:t>
      </w:r>
      <w:r>
        <w:t xml:space="preserve">out-of-distribution actions, while CQL’s conservative penalty holds it near 800</w:t>
      </w:r>
      <w:r>
        <w:t xml:space="preserve"> </w:t>
      </w:r>
      <w:r>
        <w:t xml:space="preserve">and BC stays near zero. This is the required visual demonstration of the</w:t>
      </w:r>
      <w:r>
        <w:t xml:space="preserve"> </w:t>
      </w:r>
      <w:r>
        <w:t xml:space="preserve">over-estimation failure and its fix.</w:t>
      </w:r>
    </w:p>
    <w:p>
      <w:pPr>
        <w:pStyle w:val="BodyText"/>
      </w:pPr>
      <w:r>
        <w:t xml:space="preserve">CQL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beat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(7.06 vs 4.57), and this is expected</w:t>
      </w:r>
      <w:r>
        <w:t xml:space="preserve"> </w:t>
      </w:r>
      <w:r>
        <w:t xml:space="preserve">rather than a failure of the method. Offline performance is upper-bounded by the</w:t>
      </w:r>
      <w:r>
        <w:t xml:space="preserve"> </w:t>
      </w:r>
      <w:r>
        <w:t xml:space="preserve">behavior policy that generated the data (~60% greedy, ~40% noisy/random), so</w:t>
      </w:r>
      <w:r>
        <w:t xml:space="preserve"> </w:t>
      </w:r>
      <w:r>
        <w:t xml:space="preserve">greedy-level cost is the realistic ceiling when learning purely from a</w:t>
      </w:r>
      <w:r>
        <w:t xml:space="preserve"> </w:t>
      </w:r>
      <w:r>
        <w:t xml:space="preserve">half-random log. The required offline comparison is against naive-DQN-offline</w:t>
      </w:r>
      <w:r>
        <w:t xml:space="preserve"> </w:t>
      </w:r>
      <w:r>
        <w:t xml:space="preserve">and BC — both of which CQL clears decisively.</w:t>
      </w:r>
    </w:p>
    <w:bookmarkEnd w:id="46"/>
    <w:bookmarkStart w:id="50" w:name="joint-component-multi-agent-idqn"/>
    <w:p>
      <w:pPr>
        <w:pStyle w:val="Heading2"/>
      </w:pPr>
      <w:r>
        <w:t xml:space="preserve">6. Joint component — Multi-agent IDQN</w:t>
      </w:r>
    </w:p>
    <w:p>
      <w:pPr>
        <w:pStyle w:val="FirstParagraph"/>
      </w:pPr>
      <w:r>
        <w:t xml:space="preserve">Eight decentralized drone agents share one Q-network and one replay buffer on</w:t>
      </w:r>
      <w:r>
        <w:t xml:space="preserve"> </w:t>
      </w:r>
      <w:r>
        <w:rPr>
          <w:rStyle w:val="VerbatimChar"/>
        </w:rPr>
        <w:t xml:space="preserve">DroneDispatchMA-v0</w:t>
      </w:r>
      <w:r>
        <w:t xml:space="preserve">. Each receives its local 59-dimensional observation and</w:t>
      </w:r>
      <w:r>
        <w:t xml:space="preserve"> </w:t>
      </w:r>
      <w:r>
        <w:t xml:space="preserve">chooses accept, move, charge, or idle. The cost metric now counts on-time</w:t>
      </w:r>
      <w:r>
        <w:t xml:space="preserve"> </w:t>
      </w:r>
      <w:r>
        <w:t xml:space="preserve">deliveries from their actual deadlines rather than using a reward threshold.</w:t>
      </w:r>
    </w:p>
    <w:p>
      <w:pPr>
        <w:pStyle w:val="BodyText"/>
      </w:pPr>
      <w:r>
        <w:t xml:space="preserve">Three equal 30k-step training runs produced: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training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delivered/episode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± 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39.14 ± 15.69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42.7 ± 20.6</w:t>
            </w:r>
          </w:p>
        </w:tc>
      </w:tr>
    </w:tbl>
    <w:p>
      <w:pPr>
        <w:pStyle w:val="BodyText"/>
      </w:pPr>
      <w:r>
        <w:t xml:space="preserve">The random MA baseline costs</w:t>
      </w:r>
      <w:r>
        <w:t xml:space="preserve"> </w:t>
      </w:r>
      <w:r>
        <w:rPr>
          <w:b/>
          <w:bCs/>
        </w:rPr>
        <w:t xml:space="preserve">9.23</w:t>
      </w:r>
      <w:r>
        <w:t xml:space="preserve">, so these equal-budget runs do not</w:t>
      </w:r>
      <w:r>
        <w:t xml:space="preserve"> </w:t>
      </w:r>
      <w:r>
        <w:t xml:space="preserve">converge. An earlier extended 60k seed-0 checkpoint reaches</w:t>
      </w:r>
      <w:r>
        <w:t xml:space="preserve"> </w:t>
      </w:r>
      <w:r>
        <w:rPr>
          <w:b/>
          <w:bCs/>
        </w:rPr>
        <w:t xml:space="preserve">6.65</w:t>
      </w:r>
      <w:r>
        <w:t xml:space="preserve">, delivers</w:t>
      </w:r>
      <w:r>
        <w:t xml:space="preserve"> </w:t>
      </w:r>
      <w:r>
        <w:t xml:space="preserve">100.7 orders, and beats random, but it is not presented as a robust three-seed</w:t>
      </w:r>
      <w:r>
        <w:t xml:space="preserve"> </w:t>
      </w:r>
      <w:r>
        <w:t xml:space="preserve">result. It also does not beat the best centralized A2C (1.09) or Role-C planner</w:t>
      </w:r>
      <w:r>
        <w:t xml:space="preserve"> </w:t>
      </w:r>
      <w:r>
        <w:t xml:space="preserve">(2.92). This corrects the earlier claim that IDQN generally beat the centralized</w:t>
      </w:r>
      <w:r>
        <w:t xml:space="preserve"> </w:t>
      </w:r>
      <w:r>
        <w:t xml:space="preserve">policy.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Multi-agent three-seed curve" title="" id="48" name="Picture"/>
            <a:graphic>
              <a:graphicData uri="http://schemas.openxmlformats.org/drawingml/2006/picture">
                <pic:pic>
                  <pic:nvPicPr>
                    <pic:cNvPr descr="figures/ma_idqn_three_se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Multi-agent three-seed curve</w:t>
      </w:r>
    </w:p>
    <w:p>
      <w:pPr>
        <w:pStyle w:val="BodyText"/>
      </w:pPr>
      <w:r>
        <w:t xml:space="preserve">The high variance illustrates non-stationarity: from one drone’s perspective,</w:t>
      </w:r>
      <w:r>
        <w:t xml:space="preserve"> </w:t>
      </w:r>
      <w:r>
        <w:t xml:space="preserve">the other seven agents change their behavior while the shared network learns.</w:t>
      </w:r>
      <w:r>
        <w:t xml:space="preserve"> </w:t>
      </w:r>
      <w:r>
        <w:t xml:space="preserve">Parameter sharing reduces but does not remove this moving-target problem.</w:t>
      </w:r>
    </w:p>
    <w:bookmarkEnd w:id="50"/>
    <w:bookmarkStart w:id="51" w:name="method-origins"/>
    <w:p>
      <w:pPr>
        <w:pStyle w:val="Heading2"/>
      </w:pPr>
      <w:r>
        <w:t xml:space="preserve">7. Method origins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DQN:</w:t>
      </w:r>
      <w:r>
        <w:t xml:space="preserve"> </w:t>
      </w:r>
      <w:r>
        <w:t xml:space="preserve">Mnih et al.,</w:t>
      </w:r>
      <w:r>
        <w:t xml:space="preserve"> </w:t>
      </w:r>
      <w:r>
        <w:rPr>
          <w:i/>
          <w:iCs/>
        </w:rPr>
        <w:t xml:space="preserve">Human-level control through deep reinforcement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(2015), chosen as the canonical replay/target-network value method.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Double DQN:</w:t>
      </w:r>
      <w:r>
        <w:t xml:space="preserve"> </w:t>
      </w:r>
      <w:r>
        <w:t xml:space="preserve">van Hasselt, Guez &amp; Silver (2016), chosen to reduce</w:t>
      </w:r>
      <w:r>
        <w:t xml:space="preserve"> </w:t>
      </w:r>
      <w:r>
        <w:t xml:space="preserve">max-operator over-estimation.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Dueling DQN:</w:t>
      </w:r>
      <w:r>
        <w:t xml:space="preserve"> </w:t>
      </w:r>
      <w:r>
        <w:t xml:space="preserve">Wang et al. (2016), chosen to separate state value from</w:t>
      </w:r>
      <w:r>
        <w:t xml:space="preserve"> </w:t>
      </w:r>
      <w:r>
        <w:t xml:space="preserve">action-specific advantage.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REINFORCE:</w:t>
      </w:r>
      <w:r>
        <w:t xml:space="preserve"> </w:t>
      </w:r>
      <w:r>
        <w:t xml:space="preserve">Williams (1992), the likelihood-ratio policy-gradient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GAE:</w:t>
      </w:r>
      <w:r>
        <w:t xml:space="preserve"> </w:t>
      </w:r>
      <w:r>
        <w:t xml:space="preserve">Schulman et al. (2016), chosen for its explicit bias/variance λ knob.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A2C/A3C:</w:t>
      </w:r>
      <w:r>
        <w:t xml:space="preserve"> </w:t>
      </w:r>
      <w:r>
        <w:t xml:space="preserve">Mnih et al. (2016); we use the synchronous A2C variant.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DDPG:</w:t>
      </w:r>
      <w:r>
        <w:t xml:space="preserve"> </w:t>
      </w:r>
      <w:r>
        <w:t xml:space="preserve">Lillicrap et al. (2016), chosen for continuous speed/heading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TD3:</w:t>
      </w:r>
      <w:r>
        <w:t xml:space="preserve"> </w:t>
      </w:r>
      <w:r>
        <w:t xml:space="preserve">Fujimoto et al. (2018), added as a config-gated DDPG stabiliser</w:t>
      </w:r>
      <w:r>
        <w:t xml:space="preserve"> </w:t>
      </w:r>
      <w:r>
        <w:t xml:space="preserve">(clipped double-Q, target smoothing, delayed actor updates).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Rollout planning:</w:t>
      </w:r>
      <w:r>
        <w:t xml:space="preserve"> </w:t>
      </w:r>
      <w:r>
        <w:t xml:space="preserve">Sutton &amp; Barto, Chapter 8, and Tesauro &amp; Galperin</w:t>
      </w:r>
      <w:r>
        <w:t xml:space="preserve"> </w:t>
      </w:r>
      <w:r>
        <w:t xml:space="preserve">(1996), motivating decision-time policy improvement.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CQL:</w:t>
      </w:r>
      <w:r>
        <w:t xml:space="preserve"> </w:t>
      </w:r>
      <w:r>
        <w:t xml:space="preserve">Kumar et al. (2020), chosen to penalize unsupported offline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IDQN/parameter sharing:</w:t>
      </w:r>
      <w:r>
        <w:t xml:space="preserve"> </w:t>
      </w:r>
      <w:r>
        <w:t xml:space="preserve">Tampuu et al. (2017) and Gupta et al. (2017).</w:t>
      </w:r>
    </w:p>
    <w:bookmarkEnd w:id="51"/>
    <w:bookmarkStart w:id="52" w:name="reproducibility-and-final-assessment"/>
    <w:p>
      <w:pPr>
        <w:pStyle w:val="Heading2"/>
      </w:pPr>
      <w:r>
        <w:t xml:space="preserve">8. Reproducibility and final assessment</w:t>
      </w:r>
    </w:p>
    <w:p>
      <w:pPr>
        <w:pStyle w:val="FirstParagraph"/>
      </w:pPr>
      <w:r>
        <w:t xml:space="preserve">All experimental numbers are in YAML configs; dependencies are pinned.</w:t>
      </w:r>
      <w:r>
        <w:t xml:space="preserve"> </w:t>
      </w:r>
      <w:r>
        <w:rPr>
          <w:rStyle w:val="VerbatimChar"/>
        </w:rPr>
        <w:t xml:space="preserve">offline_pool.npz</w:t>
      </w:r>
      <w:r>
        <w:t xml:space="preserve"> </w:t>
      </w:r>
      <w:r>
        <w:t xml:space="preserve">is included with SHA-256 verification.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loads</w:t>
      </w:r>
      <w:r>
        <w:t xml:space="preserve"> </w:t>
      </w:r>
      <w:r>
        <w:t xml:space="preserve">the final saved policies for every role and both joint components. The simulator</w:t>
      </w:r>
      <w:r>
        <w:t xml:space="preserve"> </w:t>
      </w:r>
      <w:r>
        <w:t xml:space="preserve">tests pass</w:t>
      </w:r>
      <w:r>
        <w:t xml:space="preserve"> </w:t>
      </w:r>
      <w:r>
        <w:rPr>
          <w:b/>
          <w:bCs/>
        </w:rPr>
        <w:t xml:space="preserve">17/17</w:t>
      </w:r>
      <w:r>
        <w:t xml:space="preserve">.</w:t>
      </w:r>
    </w:p>
    <w:p>
      <w:pPr>
        <w:pStyle w:val="BodyText"/>
      </w:pPr>
      <w:r>
        <w:t xml:space="preserve">The strongest methods are A2C, factored Double DQN, and the depth-1 planner.</w:t>
      </w:r>
      <w:r>
        <w:t xml:space="preserve"> </w:t>
      </w:r>
      <w:r>
        <w:t xml:space="preserve">DDPG now beats its go-straight baseline (100% target-reaching success on the</w:t>
      </w:r>
      <w:r>
        <w:t xml:space="preserve"> </w:t>
      </w:r>
      <w:r>
        <w:t xml:space="preserve">held-out seed range), and offline CQL satisfies the required failure-and-fix</w:t>
      </w:r>
      <w:r>
        <w:t xml:space="preserve"> </w:t>
      </w:r>
      <w:r>
        <w:t xml:space="preserve">comparison. The three-seed IDQN remains an honest negative result: it runs</w:t>
      </w:r>
      <w:r>
        <w:t xml:space="preserve"> </w:t>
      </w:r>
      <w:r>
        <w:t xml:space="preserve">end-to-end and beats random at 60k steps, but does not converge to the</w:t>
      </w:r>
      <w:r>
        <w:t xml:space="preserve"> </w:t>
      </w:r>
      <w:r>
        <w:t xml:space="preserve">centralized policy in an equal training budget.</w:t>
      </w:r>
    </w:p>
    <w:bookmarkEnd w:id="52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External sources consulted on why the flat value-based architecture (Section</w:t>
      </w:r>
      <w:r>
        <w:t xml:space="preserve"> </w:t>
      </w:r>
      <w:r>
        <w:t xml:space="preserve">2.5) fails on the large discrete assignment action space and why a factored</w:t>
      </w:r>
      <w:r>
        <w:t xml:space="preserve"> </w:t>
      </w:r>
      <w:r>
        <w:t xml:space="preserve">representation fixes it:</w:t>
      </w:r>
    </w:p>
    <w:p>
      <w:pPr>
        <w:pStyle w:val="Compact"/>
        <w:numPr>
          <w:ilvl w:val="0"/>
          <w:numId w:val="1003"/>
        </w:numPr>
      </w:pPr>
      <w:r>
        <w:t xml:space="preserve">Dulac-Arnold, G. et al. (2015).</w:t>
      </w:r>
      <w:r>
        <w:t xml:space="preserve"> </w:t>
      </w:r>
      <w:r>
        <w:rPr>
          <w:i/>
          <w:iCs/>
        </w:rPr>
        <w:t xml:space="preserve">Deep Reinforcement Learning in Large</w:t>
      </w:r>
      <w:r>
        <w:rPr>
          <w:i/>
          <w:iCs/>
        </w:rPr>
        <w:t xml:space="preserve"> </w:t>
      </w:r>
      <w:r>
        <w:rPr>
          <w:i/>
          <w:iCs/>
        </w:rPr>
        <w:t xml:space="preserve">Discrete Action Spaces.</w:t>
      </w:r>
      <w:r>
        <w:t xml:space="preserve"> </w:t>
      </w:r>
      <w:r>
        <w:t xml:space="preserve">arXiv:1512.07679.</w:t>
      </w:r>
      <w:r>
        <w:t xml:space="preserve"> </w:t>
      </w:r>
      <w:hyperlink r:id="rId53">
        <w:r>
          <w:rPr>
            <w:rStyle w:val="Hyperlink"/>
          </w:rPr>
          <w:t xml:space="preserve">https://arxiv.org/abs/1512.07679</w:t>
        </w:r>
      </w:hyperlink>
    </w:p>
    <w:p>
      <w:pPr>
        <w:pStyle w:val="Compact"/>
        <w:numPr>
          <w:ilvl w:val="0"/>
          <w:numId w:val="1003"/>
        </w:numPr>
      </w:pPr>
      <w:r>
        <w:t xml:space="preserve">Sharma, S., Suresh, A., Ramesh, R., Ravindran, B. (2017).</w:t>
      </w:r>
      <w:r>
        <w:t xml:space="preserve"> </w:t>
      </w:r>
      <w:r>
        <w:rPr>
          <w:i/>
          <w:iCs/>
        </w:rPr>
        <w:t xml:space="preserve">Learning to Factor</w:t>
      </w:r>
      <w:r>
        <w:rPr>
          <w:i/>
          <w:iCs/>
        </w:rPr>
        <w:t xml:space="preserve"> </w:t>
      </w:r>
      <w:r>
        <w:rPr>
          <w:i/>
          <w:iCs/>
        </w:rPr>
        <w:t xml:space="preserve">Policies and Action-Value Functions: Factored Action Space Representations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Deep Reinforcement Learning.</w:t>
      </w:r>
      <w:r>
        <w:t xml:space="preserve"> </w:t>
      </w:r>
      <w:r>
        <w:t xml:space="preserve">arXiv:1705.07269.</w:t>
      </w:r>
      <w:r>
        <w:t xml:space="preserve"> </w:t>
      </w:r>
      <w:hyperlink r:id="rId54">
        <w:r>
          <w:rPr>
            <w:rStyle w:val="Hyperlink"/>
          </w:rPr>
          <w:t xml:space="preserve">https://arxiv.org/abs/1705.07269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53" Target="https://arxiv.org/abs/1512.07679" TargetMode="External" /><Relationship Type="http://schemas.openxmlformats.org/officeDocument/2006/relationships/hyperlink" Id="rId54" Target="https://arxiv.org/abs/1705.0726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arxiv.org/abs/1512.07679" TargetMode="External" /><Relationship Type="http://schemas.openxmlformats.org/officeDocument/2006/relationships/hyperlink" Id="rId54" Target="https://arxiv.org/abs/1705.0726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2026-06-26T20:28:55Z</dcterms:created>
  <dcterms:modified xsi:type="dcterms:W3CDTF">2026-06-26T20:28:55Z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