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2C3E50"/>
          <w:sz w:val="44"/>
        </w:rPr>
        <w:t>Seasonal Hobby Hub</w:t>
        <w:br/>
        <w:t>Project Progress &amp; Implementation Document</w:t>
      </w:r>
    </w:p>
    <w:p>
      <w:pPr>
        <w:keepNext/>
        <w:spacing w:before="360" w:after="160"/>
      </w:pPr>
      <w:r>
        <w:rPr>
          <w:rFonts w:ascii="Arial" w:hAnsi="Arial"/>
          <w:b/>
          <w:color w:val="1A252F"/>
          <w:sz w:val="30"/>
        </w:rPr>
        <w:t>1. Current Progress Overview</w:t>
      </w:r>
    </w:p>
    <w:tbl>
      <w:tblPr>
        <w:tblW w:type="auto" w:w="0"/>
        <w:tblLayout w:type="fixed"/>
        <w:tblLook w:firstColumn="1" w:firstRow="1" w:lastColumn="0" w:lastRow="0" w:noHBand="0" w:noVBand="1" w:val="04A0"/>
      </w:tblPr>
      <w:tblGrid>
        <w:gridCol w:w="3120"/>
        <w:gridCol w:w="3120"/>
        <w:gridCol w:w="3120"/>
      </w:tblGrid>
      <w:tr>
        <w:tc>
          <w:tcPr>
            <w:tcW w:type="dxa" w:w="2160"/>
            <w:shd w:fill="2C3E50"/>
          </w:tcPr>
          <w:p>
            <w:r>
              <w:rPr>
                <w:rFonts w:ascii="Arial" w:hAnsi="Arial"/>
                <w:b/>
                <w:color w:val="FFFFFF"/>
                <w:sz w:val="20"/>
              </w:rPr>
              <w:t>Functional Area</w:t>
            </w:r>
          </w:p>
        </w:tc>
        <w:tc>
          <w:tcPr>
            <w:tcW w:type="dxa" w:w="4608"/>
            <w:shd w:fill="2C3E50"/>
          </w:tcPr>
          <w:p>
            <w:r>
              <w:rPr>
                <w:rFonts w:ascii="Arial" w:hAnsi="Arial"/>
                <w:b/>
                <w:color w:val="FFFFFF"/>
                <w:sz w:val="20"/>
              </w:rPr>
              <w:t>Completed Deliverables &amp; Status</w:t>
            </w:r>
          </w:p>
        </w:tc>
        <w:tc>
          <w:tcPr>
            <w:tcW w:type="dxa" w:w="2592"/>
            <w:shd w:fill="2C3E50"/>
          </w:tcPr>
          <w:p>
            <w:r>
              <w:rPr>
                <w:rFonts w:ascii="Arial" w:hAnsi="Arial"/>
                <w:b/>
                <w:color w:val="FFFFFF"/>
                <w:sz w:val="20"/>
              </w:rPr>
              <w:t>Key Files / Artifacts</w:t>
            </w:r>
          </w:p>
        </w:tc>
      </w:tr>
      <w:tr>
        <w:tc>
          <w:tcPr>
            <w:tcW w:type="dxa" w:w="2160"/>
          </w:tcPr>
          <w:p>
            <w:pPr>
              <w:spacing w:before="80" w:after="80"/>
            </w:pPr>
            <w:r>
              <w:rPr>
                <w:rFonts w:ascii="Arial" w:hAnsi="Arial"/>
                <w:color w:val="2C3E50"/>
                <w:sz w:val="19"/>
              </w:rPr>
              <w:t>Core UI</w:t>
            </w:r>
          </w:p>
        </w:tc>
        <w:tc>
          <w:tcPr>
            <w:tcW w:type="dxa" w:w="4608"/>
          </w:tcPr>
          <w:p>
            <w:pPr>
              <w:spacing w:before="80" w:after="80"/>
            </w:pPr>
            <w:r>
              <w:rPr>
                <w:rFonts w:ascii="Arial" w:hAnsi="Arial"/>
                <w:color w:val="2C3E50"/>
                <w:sz w:val="19"/>
              </w:rPr>
              <w:t>• Seasonal hobby dashboard (cards, focus deck, Add Hobby modal)</w:t>
              <w:br/>
              <w:t>• Responsive layout optimized for desktop &amp; phone viewports</w:t>
              <w:br/>
              <w:t>• Clean sandbox mode that starts initialization with an empty hobby set</w:t>
              <w:br/>
              <w:t>• Focus‑toggle button nested directly inside the hobby detail modal</w:t>
            </w:r>
          </w:p>
        </w:tc>
        <w:tc>
          <w:tcPr>
            <w:tcW w:type="dxa" w:w="2592"/>
          </w:tcPr>
          <w:p>
            <w:pPr>
              <w:spacing w:before="80" w:after="80"/>
            </w:pPr>
            <w:r>
              <w:rPr>
                <w:rFonts w:ascii="Arial" w:hAnsi="Arial"/>
                <w:color w:val="2C3E50"/>
                <w:sz w:val="19"/>
              </w:rPr>
              <w:t>src/app/page.tsx</w:t>
              <w:br/>
              <w:t>src/components/HobbyCard.tsx</w:t>
              <w:br/>
              <w:t>src/components/HobbyDetailModal.tsx</w:t>
            </w:r>
          </w:p>
        </w:tc>
      </w:tr>
      <w:tr>
        <w:tc>
          <w:tcPr>
            <w:tcW w:type="dxa" w:w="2160"/>
          </w:tcPr>
          <w:p>
            <w:pPr>
              <w:spacing w:before="80" w:after="80"/>
            </w:pPr>
            <w:r>
              <w:rPr>
                <w:rFonts w:ascii="Arial" w:hAnsi="Arial"/>
                <w:color w:val="2C3E50"/>
                <w:sz w:val="19"/>
              </w:rPr>
              <w:t>AI Assistant</w:t>
            </w:r>
          </w:p>
        </w:tc>
        <w:tc>
          <w:tcPr>
            <w:tcW w:type="dxa" w:w="4608"/>
          </w:tcPr>
          <w:p>
            <w:pPr>
              <w:spacing w:before="80" w:after="80"/>
            </w:pPr>
            <w:r>
              <w:rPr>
                <w:rFonts w:ascii="Arial" w:hAnsi="Arial"/>
                <w:color w:val="2C3E50"/>
                <w:sz w:val="19"/>
              </w:rPr>
              <w:t>• Integrated OpenRouter proxy routing endpoint</w:t>
              <w:br/>
              <w:t>• Core planning system prompt renamed to Stella (friendly hobby advisor)</w:t>
              <w:br/>
              <w:t>• UI layout labels updated cleanly to Stella throughout app components</w:t>
              <w:br/>
              <w:t>• Live downstream API‑key connectivity verification test completely successful</w:t>
            </w:r>
          </w:p>
        </w:tc>
        <w:tc>
          <w:tcPr>
            <w:tcW w:type="dxa" w:w="2592"/>
          </w:tcPr>
          <w:p>
            <w:pPr>
              <w:spacing w:before="80" w:after="80"/>
            </w:pPr>
            <w:r>
              <w:rPr>
                <w:rFonts w:ascii="Arial" w:hAnsi="Arial"/>
                <w:color w:val="2C3E50"/>
                <w:sz w:val="19"/>
              </w:rPr>
              <w:t>src/components/AIAssistant.tsx</w:t>
              <w:br/>
              <w:t>src/app/api/chat/route.ts</w:t>
            </w:r>
          </w:p>
        </w:tc>
      </w:tr>
      <w:tr>
        <w:tc>
          <w:tcPr>
            <w:tcW w:type="dxa" w:w="2160"/>
          </w:tcPr>
          <w:p>
            <w:pPr>
              <w:spacing w:before="80" w:after="80"/>
            </w:pPr>
            <w:r>
              <w:rPr>
                <w:rFonts w:ascii="Arial" w:hAnsi="Arial"/>
                <w:color w:val="2C3E50"/>
                <w:sz w:val="19"/>
              </w:rPr>
              <w:t>Environment Setup</w:t>
            </w:r>
          </w:p>
        </w:tc>
        <w:tc>
          <w:tcPr>
            <w:tcW w:type="dxa" w:w="4608"/>
          </w:tcPr>
          <w:p>
            <w:pPr>
              <w:spacing w:before="80" w:after="80"/>
            </w:pPr>
            <w:r>
              <w:rPr>
                <w:rFonts w:ascii="Arial" w:hAnsi="Arial"/>
                <w:color w:val="2C3E50"/>
                <w:sz w:val="19"/>
              </w:rPr>
              <w:t>• Setup .env.local framework (secure staging environment keys)</w:t>
              <w:br/>
              <w:t>• Created template reference configuration file (.env.example)</w:t>
              <w:br/>
              <w:t>• Verified global .gitignore cleanly excludes environment keys from repo history</w:t>
            </w:r>
          </w:p>
        </w:tc>
        <w:tc>
          <w:tcPr>
            <w:tcW w:type="dxa" w:w="2592"/>
          </w:tcPr>
          <w:p>
            <w:pPr>
              <w:spacing w:before="80" w:after="80"/>
            </w:pPr>
            <w:r>
              <w:rPr>
                <w:rFonts w:ascii="Arial" w:hAnsi="Arial"/>
                <w:color w:val="2C3E50"/>
                <w:sz w:val="19"/>
              </w:rPr>
              <w:t>.env.local</w:t>
              <w:br/>
              <w:t>.env.example</w:t>
            </w:r>
          </w:p>
        </w:tc>
      </w:tr>
      <w:tr>
        <w:tc>
          <w:tcPr>
            <w:tcW w:type="dxa" w:w="2160"/>
          </w:tcPr>
          <w:p>
            <w:pPr>
              <w:spacing w:before="80" w:after="80"/>
            </w:pPr>
            <w:r>
              <w:rPr>
                <w:rFonts w:ascii="Arial" w:hAnsi="Arial"/>
                <w:color w:val="2C3E50"/>
                <w:sz w:val="19"/>
              </w:rPr>
              <w:t>Database Schema</w:t>
            </w:r>
          </w:p>
        </w:tc>
        <w:tc>
          <w:tcPr>
            <w:tcW w:type="dxa" w:w="4608"/>
          </w:tcPr>
          <w:p>
            <w:pPr>
              <w:spacing w:before="80" w:after="80"/>
            </w:pPr>
            <w:r>
              <w:rPr>
                <w:rFonts w:ascii="Arial" w:hAnsi="Arial"/>
                <w:color w:val="2C3E50"/>
                <w:sz w:val="19"/>
              </w:rPr>
              <w:t>• Formulated schema.sql setup ledger with tables for hobbies, activity_logs, custom enums, and optimized querying indexes</w:t>
              <w:br/>
              <w:t>• Standardized architecture references pointing seamlessly to Supabase auth.users</w:t>
            </w:r>
          </w:p>
        </w:tc>
        <w:tc>
          <w:tcPr>
            <w:tcW w:type="dxa" w:w="2592"/>
          </w:tcPr>
          <w:p>
            <w:pPr>
              <w:spacing w:before="80" w:after="80"/>
            </w:pPr>
            <w:r>
              <w:rPr>
                <w:rFonts w:ascii="Arial" w:hAnsi="Arial"/>
                <w:color w:val="2C3E50"/>
                <w:sz w:val="19"/>
              </w:rPr>
              <w:t>schema.sql</w:t>
            </w:r>
          </w:p>
        </w:tc>
      </w:tr>
      <w:tr>
        <w:tc>
          <w:tcPr>
            <w:tcW w:type="dxa" w:w="2160"/>
          </w:tcPr>
          <w:p>
            <w:pPr>
              <w:spacing w:before="80" w:after="80"/>
            </w:pPr>
            <w:r>
              <w:rPr>
                <w:rFonts w:ascii="Arial" w:hAnsi="Arial"/>
                <w:color w:val="2C3E50"/>
                <w:sz w:val="19"/>
              </w:rPr>
              <w:t>LocalStorage Backend</w:t>
            </w:r>
          </w:p>
        </w:tc>
        <w:tc>
          <w:tcPr>
            <w:tcW w:type="dxa" w:w="4608"/>
          </w:tcPr>
          <w:p>
            <w:pPr>
              <w:spacing w:before="80" w:after="80"/>
            </w:pPr>
            <w:r>
              <w:rPr>
                <w:rFonts w:ascii="Arial" w:hAnsi="Arial"/>
                <w:color w:val="2C3E50"/>
                <w:sz w:val="19"/>
              </w:rPr>
              <w:t>• Wired hobby logic state CRUD configurations directly to work with storage modules</w:t>
              <w:br/>
              <w:t>• Set up standard state namespace handling options to isolate sandboxed testing runs</w:t>
            </w:r>
          </w:p>
        </w:tc>
        <w:tc>
          <w:tcPr>
            <w:tcW w:type="dxa" w:w="2592"/>
          </w:tcPr>
          <w:p>
            <w:pPr>
              <w:spacing w:before="80" w:after="80"/>
            </w:pPr>
            <w:r>
              <w:rPr>
                <w:rFonts w:ascii="Arial" w:hAnsi="Arial"/>
                <w:color w:val="2C3E50"/>
                <w:sz w:val="19"/>
              </w:rPr>
              <w:t>src/lib/storage.ts</w:t>
            </w:r>
          </w:p>
        </w:tc>
      </w:tr>
      <w:tr>
        <w:tc>
          <w:tcPr>
            <w:tcW w:type="dxa" w:w="2160"/>
          </w:tcPr>
          <w:p>
            <w:pPr>
              <w:spacing w:before="80" w:after="80"/>
            </w:pPr>
            <w:r>
              <w:rPr>
                <w:rFonts w:ascii="Arial" w:hAnsi="Arial"/>
                <w:color w:val="2C3E50"/>
                <w:sz w:val="19"/>
              </w:rPr>
              <w:t>Quality Checks</w:t>
            </w:r>
          </w:p>
        </w:tc>
        <w:tc>
          <w:tcPr>
            <w:tcW w:type="dxa" w:w="4608"/>
          </w:tcPr>
          <w:p>
            <w:pPr>
              <w:spacing w:before="80" w:after="80"/>
            </w:pPr>
            <w:r>
              <w:rPr>
                <w:rFonts w:ascii="Arial" w:hAnsi="Arial"/>
                <w:color w:val="2C3E50"/>
                <w:sz w:val="19"/>
              </w:rPr>
              <w:t>• Executed strict framework linting checks resulting in zero errors</w:t>
              <w:br/>
              <w:t>• Verified optimization builds execute successfully without deployment compilation alerts</w:t>
            </w:r>
          </w:p>
        </w:tc>
        <w:tc>
          <w:tcPr>
            <w:tcW w:type="dxa" w:w="2592"/>
          </w:tcPr>
          <w:p>
            <w:pPr>
              <w:spacing w:before="80" w:after="80"/>
            </w:pPr>
            <w:r>
              <w:rPr>
                <w:rFonts w:ascii="Arial" w:hAnsi="Arial"/>
                <w:color w:val="2C3E50"/>
                <w:sz w:val="19"/>
              </w:rPr>
              <w:t>Build logs</w:t>
            </w:r>
          </w:p>
        </w:tc>
      </w:tr>
    </w:tbl>
    <w:p>
      <w:pPr>
        <w:spacing w:before="120"/>
      </w:pPr>
    </w:p>
    <w:p>
      <w:pPr>
        <w:keepNext/>
        <w:spacing w:before="360" w:after="160"/>
      </w:pPr>
      <w:r>
        <w:rPr>
          <w:rFonts w:ascii="Arial" w:hAnsi="Arial"/>
          <w:b/>
          <w:color w:val="1A252F"/>
          <w:sz w:val="30"/>
        </w:rPr>
        <w:t>2. Gap Analysis &amp; What’s Still Missing</w:t>
      </w:r>
    </w:p>
    <w:tbl>
      <w:tblPr>
        <w:tblW w:type="auto" w:w="0"/>
        <w:tblLayout w:type="fixed"/>
        <w:tblLook w:firstColumn="1" w:firstRow="1" w:lastColumn="0" w:lastRow="0" w:noHBand="0" w:noVBand="1" w:val="04A0"/>
      </w:tblPr>
      <w:tblGrid>
        <w:gridCol w:w="3120"/>
        <w:gridCol w:w="3120"/>
        <w:gridCol w:w="3120"/>
      </w:tblGrid>
      <w:tr>
        <w:tc>
          <w:tcPr>
            <w:tcW w:type="dxa" w:w="2160"/>
            <w:shd w:fill="2C3E50"/>
          </w:tcPr>
          <w:p>
            <w:r>
              <w:rPr>
                <w:rFonts w:ascii="Arial" w:hAnsi="Arial"/>
                <w:b/>
                <w:color w:val="FFFFFF"/>
                <w:sz w:val="20"/>
              </w:rPr>
              <w:t>Functional Category</w:t>
            </w:r>
          </w:p>
        </w:tc>
        <w:tc>
          <w:tcPr>
            <w:tcW w:type="dxa" w:w="4320"/>
            <w:shd w:fill="2C3E50"/>
          </w:tcPr>
          <w:p>
            <w:r>
              <w:rPr>
                <w:rFonts w:ascii="Arial" w:hAnsi="Arial"/>
                <w:b/>
                <w:color w:val="FFFFFF"/>
                <w:sz w:val="20"/>
              </w:rPr>
              <w:t>Pending Functional Work Needed</w:t>
            </w:r>
          </w:p>
        </w:tc>
        <w:tc>
          <w:tcPr>
            <w:tcW w:type="dxa" w:w="2880"/>
            <w:shd w:fill="2C3E50"/>
          </w:tcPr>
          <w:p>
            <w:r>
              <w:rPr>
                <w:rFonts w:ascii="Arial" w:hAnsi="Arial"/>
                <w:b/>
                <w:color w:val="FFFFFF"/>
                <w:sz w:val="20"/>
              </w:rPr>
              <w:t>Strategic Impact Dependency</w:t>
            </w:r>
          </w:p>
        </w:tc>
      </w:tr>
      <w:tr>
        <w:tc>
          <w:tcPr>
            <w:tcW w:type="dxa" w:w="2160"/>
          </w:tcPr>
          <w:p>
            <w:pPr>
              <w:spacing w:before="80" w:after="80"/>
            </w:pPr>
            <w:r>
              <w:rPr>
                <w:rFonts w:ascii="Arial" w:hAnsi="Arial"/>
                <w:color w:val="2C3E50"/>
                <w:sz w:val="19"/>
              </w:rPr>
              <w:t>Authentication UI</w:t>
            </w:r>
          </w:p>
        </w:tc>
        <w:tc>
          <w:tcPr>
            <w:tcW w:type="dxa" w:w="4320"/>
          </w:tcPr>
          <w:p>
            <w:pPr>
              <w:spacing w:before="80" w:after="80"/>
            </w:pPr>
            <w:r>
              <w:rPr>
                <w:rFonts w:ascii="Arial" w:hAnsi="Arial"/>
                <w:color w:val="2C3E50"/>
                <w:sz w:val="19"/>
              </w:rPr>
              <w:t>• Provision dedicated client login / signup application pages</w:t>
              <w:br/>
              <w:t>• Connect session token providers using auth helper dependencies</w:t>
            </w:r>
          </w:p>
        </w:tc>
        <w:tc>
          <w:tcPr>
            <w:tcW w:type="dxa" w:w="2880"/>
          </w:tcPr>
          <w:p>
            <w:pPr>
              <w:spacing w:before="80" w:after="80"/>
            </w:pPr>
            <w:r>
              <w:rPr>
                <w:rFonts w:ascii="Arial" w:hAnsi="Arial"/>
                <w:color w:val="2C3E50"/>
                <w:sz w:val="19"/>
              </w:rPr>
              <w:t>Ensures users can register, protect, and claim ownership over their long-term hobby progress data.</w:t>
            </w:r>
          </w:p>
        </w:tc>
      </w:tr>
      <w:tr>
        <w:tc>
          <w:tcPr>
            <w:tcW w:type="dxa" w:w="2160"/>
          </w:tcPr>
          <w:p>
            <w:pPr>
              <w:spacing w:before="80" w:after="80"/>
            </w:pPr>
            <w:r>
              <w:rPr>
                <w:rFonts w:ascii="Arial" w:hAnsi="Arial"/>
                <w:color w:val="2C3E50"/>
                <w:sz w:val="19"/>
              </w:rPr>
              <w:t>Supabase Integration</w:t>
            </w:r>
          </w:p>
        </w:tc>
        <w:tc>
          <w:tcPr>
            <w:tcW w:type="dxa" w:w="4320"/>
          </w:tcPr>
          <w:p>
            <w:pPr>
              <w:spacing w:before="80" w:after="80"/>
            </w:pPr>
            <w:r>
              <w:rPr>
                <w:rFonts w:ascii="Arial" w:hAnsi="Arial"/>
                <w:color w:val="2C3E50"/>
                <w:sz w:val="19"/>
              </w:rPr>
              <w:t>• Refactor client runtime calls to bypass local storage arrays in favor of standard database requests</w:t>
              <w:br/>
              <w:t>• Secure critical production values by isolating public elements from underlying secrets</w:t>
            </w:r>
          </w:p>
        </w:tc>
        <w:tc>
          <w:tcPr>
            <w:tcW w:type="dxa" w:w="2880"/>
          </w:tcPr>
          <w:p>
            <w:pPr>
              <w:spacing w:before="80" w:after="80"/>
            </w:pPr>
            <w:r>
              <w:rPr>
                <w:rFonts w:ascii="Arial" w:hAnsi="Arial"/>
                <w:color w:val="2C3E50"/>
                <w:sz w:val="19"/>
              </w:rPr>
              <w:t>Guarantees reliable multi-device persistent synchronization configurations across standard browsers.</w:t>
            </w:r>
          </w:p>
        </w:tc>
      </w:tr>
      <w:tr>
        <w:tc>
          <w:tcPr>
            <w:tcW w:type="dxa" w:w="2160"/>
          </w:tcPr>
          <w:p>
            <w:pPr>
              <w:spacing w:before="80" w:after="80"/>
            </w:pPr>
            <w:r>
              <w:rPr>
                <w:rFonts w:ascii="Arial" w:hAnsi="Arial"/>
                <w:color w:val="2C3E50"/>
                <w:sz w:val="19"/>
              </w:rPr>
              <w:t>Row‑Level Security (RLS)</w:t>
            </w:r>
          </w:p>
        </w:tc>
        <w:tc>
          <w:tcPr>
            <w:tcW w:type="dxa" w:w="4320"/>
          </w:tcPr>
          <w:p>
            <w:pPr>
              <w:spacing w:before="80" w:after="80"/>
            </w:pPr>
            <w:r>
              <w:rPr>
                <w:rFonts w:ascii="Arial" w:hAnsi="Arial"/>
                <w:color w:val="2C3E50"/>
                <w:sz w:val="19"/>
              </w:rPr>
              <w:t>• Inject isolated access rules targeting the core data schemas</w:t>
              <w:br/>
              <w:t>• Provide explicit select, update, and deletion evaluation pipelines matching session profiles</w:t>
            </w:r>
          </w:p>
        </w:tc>
        <w:tc>
          <w:tcPr>
            <w:tcW w:type="dxa" w:w="2880"/>
          </w:tcPr>
          <w:p>
            <w:pPr>
              <w:spacing w:before="80" w:after="80"/>
            </w:pPr>
            <w:r>
              <w:rPr>
                <w:rFonts w:ascii="Arial" w:hAnsi="Arial"/>
                <w:color w:val="2C3E50"/>
                <w:sz w:val="19"/>
              </w:rPr>
              <w:t>Secures system tenancy by strictly preventing malicious or accidental access to user rows.</w:t>
            </w:r>
          </w:p>
        </w:tc>
      </w:tr>
      <w:tr>
        <w:tc>
          <w:tcPr>
            <w:tcW w:type="dxa" w:w="2160"/>
          </w:tcPr>
          <w:p>
            <w:pPr>
              <w:spacing w:before="80" w:after="80"/>
            </w:pPr>
            <w:r>
              <w:rPr>
                <w:rFonts w:ascii="Arial" w:hAnsi="Arial"/>
                <w:color w:val="2C3E50"/>
                <w:sz w:val="19"/>
              </w:rPr>
              <w:t>User‑Specific Data Loading</w:t>
            </w:r>
          </w:p>
        </w:tc>
        <w:tc>
          <w:tcPr>
            <w:tcW w:type="dxa" w:w="4320"/>
          </w:tcPr>
          <w:p>
            <w:pPr>
              <w:spacing w:before="80" w:after="80"/>
            </w:pPr>
            <w:r>
              <w:rPr>
                <w:rFonts w:ascii="Arial" w:hAnsi="Arial"/>
                <w:color w:val="2C3E50"/>
                <w:sz w:val="19"/>
              </w:rPr>
              <w:t>• Query profiles on initial loading loops to aggregate custom metrics</w:t>
              <w:br/>
              <w:t>• Bridge remote state values directly down to internal React layouts seamlessly</w:t>
            </w:r>
          </w:p>
        </w:tc>
        <w:tc>
          <w:tcPr>
            <w:tcW w:type="dxa" w:w="2880"/>
          </w:tcPr>
          <w:p>
            <w:pPr>
              <w:spacing w:before="80" w:after="80"/>
            </w:pPr>
            <w:r>
              <w:rPr>
                <w:rFonts w:ascii="Arial" w:hAnsi="Arial"/>
                <w:color w:val="2C3E50"/>
                <w:sz w:val="19"/>
              </w:rPr>
              <w:t>Ensures structural UI layers represent true operational progress rather than local client data placeholders.</w:t>
            </w:r>
          </w:p>
        </w:tc>
      </w:tr>
      <w:tr>
        <w:tc>
          <w:tcPr>
            <w:tcW w:type="dxa" w:w="2160"/>
          </w:tcPr>
          <w:p>
            <w:pPr>
              <w:spacing w:before="80" w:after="80"/>
            </w:pPr>
            <w:r>
              <w:rPr>
                <w:rFonts w:ascii="Arial" w:hAnsi="Arial"/>
                <w:color w:val="2C3E50"/>
                <w:sz w:val="19"/>
              </w:rPr>
              <w:t>Focus‑Deck Persistence</w:t>
            </w:r>
          </w:p>
        </w:tc>
        <w:tc>
          <w:tcPr>
            <w:tcW w:type="dxa" w:w="4320"/>
          </w:tcPr>
          <w:p>
            <w:pPr>
              <w:spacing w:before="80" w:after="80"/>
            </w:pPr>
            <w:r>
              <w:rPr>
                <w:rFonts w:ascii="Arial" w:hAnsi="Arial"/>
                <w:color w:val="2C3E50"/>
                <w:sz w:val="19"/>
              </w:rPr>
              <w:t>• Sync current active state attributes directly with cloud database rows</w:t>
              <w:br/>
              <w:t>• Upgrade status changes to persist updates out to the host layer</w:t>
            </w:r>
          </w:p>
        </w:tc>
        <w:tc>
          <w:tcPr>
            <w:tcW w:type="dxa" w:w="2880"/>
          </w:tcPr>
          <w:p>
            <w:pPr>
              <w:spacing w:before="80" w:after="80"/>
            </w:pPr>
            <w:r>
              <w:rPr>
                <w:rFonts w:ascii="Arial" w:hAnsi="Arial"/>
                <w:color w:val="2C3E50"/>
                <w:sz w:val="19"/>
              </w:rPr>
              <w:t>Allows the user focus deck parameters to survive standard clean caching sweeps or hardware reloads.</w:t>
            </w:r>
          </w:p>
        </w:tc>
      </w:tr>
      <w:tr>
        <w:tc>
          <w:tcPr>
            <w:tcW w:type="dxa" w:w="2160"/>
          </w:tcPr>
          <w:p>
            <w:pPr>
              <w:spacing w:before="80" w:after="80"/>
            </w:pPr>
            <w:r>
              <w:rPr>
                <w:rFonts w:ascii="Arial" w:hAnsi="Arial"/>
                <w:color w:val="2C3E50"/>
                <w:sz w:val="19"/>
              </w:rPr>
              <w:t>Activity‑Log UI</w:t>
            </w:r>
          </w:p>
        </w:tc>
        <w:tc>
          <w:tcPr>
            <w:tcW w:type="dxa" w:w="4320"/>
          </w:tcPr>
          <w:p>
            <w:pPr>
              <w:spacing w:before="80" w:after="80"/>
            </w:pPr>
            <w:r>
              <w:rPr>
                <w:rFonts w:ascii="Arial" w:hAnsi="Arial"/>
                <w:color w:val="2C3E50"/>
                <w:sz w:val="19"/>
              </w:rPr>
              <w:t>• Build analytical dashboard modules tracking historic milestones</w:t>
              <w:br/>
              <w:t>• Enable user updates to capture summary notes alongside contextual milestone pictures</w:t>
            </w:r>
          </w:p>
        </w:tc>
        <w:tc>
          <w:tcPr>
            <w:tcW w:type="dxa" w:w="2880"/>
          </w:tcPr>
          <w:p>
            <w:pPr>
              <w:spacing w:before="80" w:after="80"/>
            </w:pPr>
            <w:r>
              <w:rPr>
                <w:rFonts w:ascii="Arial" w:hAnsi="Arial"/>
                <w:color w:val="2C3E50"/>
                <w:sz w:val="19"/>
              </w:rPr>
              <w:t>Completes the functional habits loop by visually mapping micro-goal accomplishments over time.</w:t>
            </w:r>
          </w:p>
        </w:tc>
      </w:tr>
      <w:tr>
        <w:tc>
          <w:tcPr>
            <w:tcW w:type="dxa" w:w="2160"/>
          </w:tcPr>
          <w:p>
            <w:pPr>
              <w:spacing w:before="80" w:after="80"/>
            </w:pPr>
            <w:r>
              <w:rPr>
                <w:rFonts w:ascii="Arial" w:hAnsi="Arial"/>
                <w:color w:val="2C3E50"/>
                <w:sz w:val="19"/>
              </w:rPr>
              <w:t>Settings / Profile Page</w:t>
            </w:r>
          </w:p>
        </w:tc>
        <w:tc>
          <w:tcPr>
            <w:tcW w:type="dxa" w:w="4320"/>
          </w:tcPr>
          <w:p>
            <w:pPr>
              <w:spacing w:before="80" w:after="80"/>
            </w:pPr>
            <w:r>
              <w:rPr>
                <w:rFonts w:ascii="Arial" w:hAnsi="Arial"/>
                <w:color w:val="2C3E50"/>
                <w:sz w:val="19"/>
              </w:rPr>
              <w:t>• Design operational panels detailing global app configurations</w:t>
              <w:br/>
              <w:t>• Provide explicit clearing actions, user account disconnect modules, and diagnostics tools</w:t>
            </w:r>
          </w:p>
        </w:tc>
        <w:tc>
          <w:tcPr>
            <w:tcW w:type="dxa" w:w="2880"/>
          </w:tcPr>
          <w:p>
            <w:pPr>
              <w:spacing w:before="80" w:after="80"/>
            </w:pPr>
            <w:r>
              <w:rPr>
                <w:rFonts w:ascii="Arial" w:hAnsi="Arial"/>
                <w:color w:val="2C3E50"/>
                <w:sz w:val="19"/>
              </w:rPr>
              <w:t>Drastically enhances general developer debugging experiences and client account manageability.</w:t>
            </w:r>
          </w:p>
        </w:tc>
      </w:tr>
      <w:tr>
        <w:tc>
          <w:tcPr>
            <w:tcW w:type="dxa" w:w="2160"/>
          </w:tcPr>
          <w:p>
            <w:pPr>
              <w:spacing w:before="80" w:after="80"/>
            </w:pPr>
            <w:r>
              <w:rPr>
                <w:rFonts w:ascii="Arial" w:hAnsi="Arial"/>
                <w:color w:val="2C3E50"/>
                <w:sz w:val="19"/>
              </w:rPr>
              <w:t>Testing &amp; Documentation</w:t>
            </w:r>
          </w:p>
        </w:tc>
        <w:tc>
          <w:tcPr>
            <w:tcW w:type="dxa" w:w="4320"/>
          </w:tcPr>
          <w:p>
            <w:pPr>
              <w:spacing w:before="80" w:after="80"/>
            </w:pPr>
            <w:r>
              <w:rPr>
                <w:rFonts w:ascii="Arial" w:hAnsi="Arial"/>
                <w:color w:val="2C3E50"/>
                <w:sz w:val="19"/>
              </w:rPr>
              <w:t>• Implement robust regression testing routines checking auth and layout integrity</w:t>
              <w:br/>
              <w:t>• Draft integration workflows outlining database initial configuration workflows</w:t>
            </w:r>
          </w:p>
        </w:tc>
        <w:tc>
          <w:tcPr>
            <w:tcW w:type="dxa" w:w="2880"/>
          </w:tcPr>
          <w:p>
            <w:pPr>
              <w:spacing w:before="80" w:after="80"/>
            </w:pPr>
            <w:r>
              <w:rPr>
                <w:rFonts w:ascii="Arial" w:hAnsi="Arial"/>
                <w:color w:val="2C3E50"/>
                <w:sz w:val="19"/>
              </w:rPr>
              <w:t>Provides project health guidelines ensuring stability for down-the-line repository contributors.</w:t>
            </w:r>
          </w:p>
        </w:tc>
      </w:tr>
      <w:tr>
        <w:tc>
          <w:tcPr>
            <w:tcW w:type="dxa" w:w="2160"/>
          </w:tcPr>
          <w:p>
            <w:pPr>
              <w:spacing w:before="80" w:after="80"/>
            </w:pPr>
            <w:r>
              <w:rPr>
                <w:rFonts w:ascii="Arial" w:hAnsi="Arial"/>
                <w:color w:val="2C3E50"/>
                <w:sz w:val="19"/>
              </w:rPr>
              <w:t>Polish &amp; Accessibility</w:t>
            </w:r>
          </w:p>
        </w:tc>
        <w:tc>
          <w:tcPr>
            <w:tcW w:type="dxa" w:w="4320"/>
          </w:tcPr>
          <w:p>
            <w:pPr>
              <w:spacing w:before="80" w:after="80"/>
            </w:pPr>
            <w:r>
              <w:rPr>
                <w:rFonts w:ascii="Arial" w:hAnsi="Arial"/>
                <w:color w:val="2C3E50"/>
                <w:sz w:val="19"/>
              </w:rPr>
              <w:t>• Audit elements for strict design systems guidelines compliance</w:t>
              <w:br/>
              <w:t>• Smooth interface actions using micro-animations on interactive cards and action points</w:t>
            </w:r>
          </w:p>
        </w:tc>
        <w:tc>
          <w:tcPr>
            <w:tcW w:type="dxa" w:w="2880"/>
          </w:tcPr>
          <w:p>
            <w:pPr>
              <w:spacing w:before="80" w:after="80"/>
            </w:pPr>
            <w:r>
              <w:rPr>
                <w:rFonts w:ascii="Arial" w:hAnsi="Arial"/>
                <w:color w:val="2C3E50"/>
                <w:sz w:val="19"/>
              </w:rPr>
              <w:t>Provides a polished, premium desktop feeling that lines up with the product vision benchmarks.</w:t>
            </w:r>
          </w:p>
        </w:tc>
      </w:tr>
    </w:tbl>
    <w:p>
      <w:pPr>
        <w:spacing w:before="120"/>
      </w:pPr>
    </w:p>
    <w:p>
      <w:pPr>
        <w:keepNext/>
        <w:spacing w:before="360" w:after="160"/>
      </w:pPr>
      <w:r>
        <w:rPr>
          <w:rFonts w:ascii="Arial" w:hAnsi="Arial"/>
          <w:b/>
          <w:color w:val="1A252F"/>
          <w:sz w:val="30"/>
        </w:rPr>
        <w:t>3. Recommended Next Implementation Steps</w:t>
      </w:r>
    </w:p>
    <w:p>
      <w:pPr>
        <w:keepNext/>
        <w:spacing w:before="240" w:after="80"/>
      </w:pPr>
      <w:r>
        <w:rPr>
          <w:rFonts w:ascii="Arial" w:hAnsi="Arial"/>
          <w:b/>
          <w:color w:val="2980B9"/>
          <w:sz w:val="24"/>
        </w:rPr>
        <w:t>1. Add Supabase Auth UI</w:t>
      </w:r>
    </w:p>
    <w:p>
      <w:pPr>
        <w:spacing w:after="80"/>
      </w:pPr>
      <w:r>
        <w:t>Install @supabase/auth-helpers-react and @supabase/ui modules. Construct a dedicated /login path provisioning user access via magic links or third-party OAuth providers. Wrap the base system layout hierarchy in a unified SessionContextProvider context block so session state hooks are exposed application-wide.</w:t>
      </w:r>
    </w:p>
    <w:p>
      <w:pPr>
        <w:keepNext/>
        <w:spacing w:before="240" w:after="80"/>
      </w:pPr>
      <w:r>
        <w:rPr>
          <w:rFonts w:ascii="Arial" w:hAnsi="Arial"/>
          <w:b/>
          <w:color w:val="2980B9"/>
          <w:sz w:val="24"/>
        </w:rPr>
        <w:t>2. Switch Storage Layer Architecture</w:t>
      </w:r>
    </w:p>
    <w:p>
      <w:pPr>
        <w:spacing w:after="80"/>
      </w:pPr>
      <w:r>
        <w:t>Refactor the read/write logic within the storage tracking utility file. Swap baseline window storage utilities for live client calls targeting target database engines. Preserve structural function models exactly so outer UI visual bindings execute cleanly without additional logic patches.</w:t>
      </w:r>
    </w:p>
    <w:p>
      <w:pPr>
        <w:keepNext/>
        <w:spacing w:before="240" w:after="80"/>
      </w:pPr>
      <w:r>
        <w:rPr>
          <w:rFonts w:ascii="Arial" w:hAnsi="Arial"/>
          <w:b/>
          <w:color w:val="2980B9"/>
          <w:sz w:val="24"/>
        </w:rPr>
        <w:t>3. Define Row-Level Security (RLS) Policies</w:t>
      </w:r>
    </w:p>
    <w:p>
      <w:pPr>
        <w:spacing w:after="80"/>
      </w:pPr>
      <w:r>
        <w:t>Access the database host manager dashboard to enforce authorization constraints directly over active datasets using explicit rules:</w:t>
      </w:r>
    </w:p>
    <w:p>
      <w:pPr>
        <w:spacing w:before="80" w:after="80"/>
        <w:ind w:left="360"/>
        <w:shd w:fill="F4F6F7"/>
      </w:pPr>
      <w:r>
        <w:rPr>
          <w:rFonts w:ascii="Consolas" w:hAnsi="Consolas"/>
          <w:color w:val="7F8C8D"/>
          <w:sz w:val="19"/>
        </w:rPr>
        <w:t>create policy "users can manage own hobbies"</w:t>
        <w:br/>
        <w:t xml:space="preserve">  on hobbies for all</w:t>
        <w:br/>
        <w:t xml:space="preserve">  using (auth.uid() = user_id);</w:t>
        <w:br/>
        <w:br/>
        <w:t>create policy "users can manage own logs"</w:t>
        <w:br/>
        <w:t xml:space="preserve">  on activity_logs for all</w:t>
        <w:br/>
        <w:t xml:space="preserve">  using (auth.uid() = user_id);</w:t>
      </w:r>
    </w:p>
    <w:p>
      <w:r>
        <w:t>Deploy changes to isolated sandbox setups to verify strict tenancy boundaries remain error-free.</w:t>
      </w:r>
    </w:p>
    <w:p>
      <w:pPr>
        <w:keepNext/>
        <w:spacing w:before="240" w:after="80"/>
      </w:pPr>
      <w:r>
        <w:rPr>
          <w:rFonts w:ascii="Arial" w:hAnsi="Arial"/>
          <w:b/>
          <w:color w:val="2980B9"/>
          <w:sz w:val="24"/>
        </w:rPr>
        <w:t>4. Load Context Data on Startup Lifecycle</w:t>
      </w:r>
    </w:p>
    <w:p>
      <w:pPr>
        <w:spacing w:after="80"/>
      </w:pPr>
      <w:r>
        <w:t>Inject initial data queries directly within the primary screen layout workspace using standard reactive hooks. Retrieve target datasets corresponding to verified active tokens before updating main component arrays, displaying a clean overlay during initial data acquisition routines.</w:t>
      </w:r>
    </w:p>
    <w:p>
      <w:pPr>
        <w:keepNext/>
        <w:spacing w:before="240" w:after="80"/>
      </w:pPr>
      <w:r>
        <w:rPr>
          <w:rFonts w:ascii="Arial" w:hAnsi="Arial"/>
          <w:b/>
          <w:color w:val="2980B9"/>
          <w:sz w:val="24"/>
        </w:rPr>
        <w:t>5. Persist Focus Toggles Programmatically</w:t>
      </w:r>
    </w:p>
    <w:p>
      <w:pPr>
        <w:spacing w:after="80"/>
      </w:pPr>
      <w:r>
        <w:t>Enhance state modification methods to broadcast visual updates down to corresponding row items instantly after a user selection changes. Employ local UI enhancements to keep visual response rates near-zero for user clicks.</w:t>
      </w:r>
    </w:p>
    <w:p>
      <w:pPr>
        <w:keepNext/>
        <w:spacing w:before="240" w:after="80"/>
      </w:pPr>
      <w:r>
        <w:rPr>
          <w:rFonts w:ascii="Arial" w:hAnsi="Arial"/>
          <w:b/>
          <w:color w:val="2980B9"/>
          <w:sz w:val="24"/>
        </w:rPr>
        <w:t>6. Build Activity-Log Interface Framework</w:t>
      </w:r>
    </w:p>
    <w:p>
      <w:pPr>
        <w:spacing w:after="80"/>
      </w:pPr>
      <w:r>
        <w:t>Introduce a specialized history container element designed to map milestone tracking lists horizontally by dates. Wire up verification checkboxes to record historical notes while simultaneously clearing active milestones out of current planning loops.</w:t>
      </w:r>
    </w:p>
    <w:p>
      <w:pPr>
        <w:keepNext/>
        <w:spacing w:before="240" w:after="80"/>
      </w:pPr>
      <w:r>
        <w:rPr>
          <w:rFonts w:ascii="Arial" w:hAnsi="Arial"/>
          <w:b/>
          <w:color w:val="2980B9"/>
          <w:sz w:val="24"/>
        </w:rPr>
        <w:t>7. Finalize Global Settings View Layout</w:t>
      </w:r>
    </w:p>
    <w:p>
      <w:pPr>
        <w:spacing w:after="80"/>
      </w:pPr>
      <w:r>
        <w:t>Construct operational interface rows detailing verified user login profiles, secure log-out access elements, variable mask flags, and standard developer data scrubbing controls to sweep temporary local test rows quickly.</w:t>
      </w:r>
    </w:p>
    <w:p>
      <w:pPr>
        <w:keepNext/>
        <w:spacing w:before="240" w:after="80"/>
      </w:pPr>
      <w:r>
        <w:rPr>
          <w:rFonts w:ascii="Arial" w:hAnsi="Arial"/>
          <w:b/>
          <w:color w:val="2980B9"/>
          <w:sz w:val="24"/>
        </w:rPr>
        <w:t>8. Technical Testing &amp; Polish Execution Loop</w:t>
      </w:r>
    </w:p>
    <w:p>
      <w:pPr>
        <w:spacing w:after="80"/>
      </w:pPr>
      <w:r>
        <w:t>Execute systematic linting routines combined with programmatic validation workflows to check edge conditions. Leverage viewport evaluation tools to maintain absolute cross-platform visual parity while reviewing text color configurations against formal readability guidelines.</w:t>
      </w:r>
    </w:p>
    <w:p>
      <w:pPr>
        <w:keepNext/>
        <w:spacing w:before="240" w:after="80"/>
      </w:pPr>
      <w:r>
        <w:rPr>
          <w:rFonts w:ascii="Arial" w:hAnsi="Arial"/>
          <w:b/>
          <w:color w:val="2980B9"/>
          <w:sz w:val="24"/>
        </w:rPr>
        <w:t>9. Synchronize README Setup Instructions</w:t>
      </w:r>
    </w:p>
    <w:p>
      <w:pPr>
        <w:spacing w:after="80"/>
      </w:pPr>
      <w:r>
        <w:t>Draft comprehensive configuration guides in the main project manual specifying how to deploy database initial setups, activate row security features, establish environment parameters, and handle client asset deployments safely.</w:t>
      </w:r>
    </w:p>
    <w:p>
      <w:pPr>
        <w:keepNext/>
        <w:spacing w:before="360" w:after="160"/>
      </w:pPr>
      <w:r>
        <w:rPr>
          <w:rFonts w:ascii="Arial" w:hAnsi="Arial"/>
          <w:b/>
          <w:color w:val="1A252F"/>
          <w:sz w:val="30"/>
        </w:rPr>
        <w:t>4. Summary Blueprint (TL;DR)</w:t>
      </w:r>
    </w:p>
    <w:p>
      <w:r>
        <w:rPr>
          <w:b/>
        </w:rPr>
        <w:t xml:space="preserve">• Status Realized: </w:t>
      </w:r>
      <w:r>
        <w:t>Functional web client UI, sandboxed storage emulation modules, custom Stella AI orchestration endpoints, target schema definitions, local caching abstractions, and focus framework items.</w:t>
        <w:br/>
      </w:r>
      <w:r>
        <w:rPr>
          <w:b/>
        </w:rPr>
        <w:t xml:space="preserve">• Horizon Tasks: </w:t>
      </w:r>
      <w:r>
        <w:t>User session interfaces, cloud data provider connectors, database row isolation rules, persistent daily cards, continuous progression registries, structural fine-tuning, and documentation suite revisions.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