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13B05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大模型使用记录表</w:t>
      </w:r>
      <w:r>
        <w:t xml:space="preserve"> </w:t>
      </w:r>
    </w:p>
    <w:p w14:paraId="04F43A81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使用的主要大模型工具：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腾讯元宝（deepseek）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tbl>
      <w:tblPr>
        <w:tblW w:w="0" w:type="auto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2534"/>
        <w:gridCol w:w="2589"/>
        <w:gridCol w:w="2537"/>
      </w:tblGrid>
      <w:tr w14:paraId="19B62C4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0FCB54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57C8A2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输入Prompt设计（要点）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2D00E5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大模型输出内容（摘要）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43B3AE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人工修正与优化点</w:t>
            </w:r>
          </w:p>
        </w:tc>
      </w:tr>
      <w:tr w14:paraId="7190393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10819A36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1. 数据预处理：生成数据清洗代码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0FC8B60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角色+任务+约束：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 xml:space="preserve">​ 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“你是一位资深数据科学家。请为一份包含‘用户ID’、‘年龄’、‘消费金额’、‘最后登录日期’的电商用户数据集，编写Python Pandas数据清洗代码。要求包括：1. 检查各列缺失值比例；2. 对‘年龄’列的缺失值使用中位数填充；3. 对‘消费金额’列使用IQR（四分位距）方法检测并标记异常值（不直接删除）。代码需包含必要注释。”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5A026AED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模型生成了一段完整的Pandas代码。包括：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1. 使用</w:t>
            </w: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df.isnull().sum()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计算缺失值。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2. 使用</w:t>
            </w: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df['年龄'].fillna(df['年龄'].median(), inplace=True)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填充年龄。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3. 计算Q1、Q3和IQR，并定义异常值边界（Q1-1.5</w:t>
            </w:r>
            <w:r>
              <w:rPr>
                <w:rStyle w:val="7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IQR, Q3+1.5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IQR），生成一个布尔序列标记异常值。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03B399A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1. 逻辑修正：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​ 模型默认的IQR乘数因子是1.5。根据业务常识（“消费金额”可能包含高价值客户），直接剔除1.5倍IQR外的点可能误伤重要样本。</w:t>
            </w: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修正为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：先标记异常值，后续结合业务分析决定处理方式，而非默认剔除。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2. 代码优化：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​ 模型代码将异常值判断逻辑写在了主流程中。</w:t>
            </w: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修正为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：将其封装成一个名为</w:t>
            </w:r>
            <w:r>
              <w:rPr>
                <w:rStyle w:val="8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detect_outliers_iqr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的函数，提高代码可复用性和可读性。</w:t>
            </w:r>
          </w:p>
        </w:tc>
      </w:tr>
      <w:tr w14:paraId="40EC98E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447360E4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2. 建模分析：解释XGBoost原理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0A8F8FBE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任务+输出格式：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 xml:space="preserve">​ 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“请用通俗易懂的语言解释XGBoost（极端梯度提升）算法的核心思想。然后，请生成一段Mermaid代码，绘制一个流程图，展示XGBoost通过多轮迭代构建弱学习器（决策树）并逐步降低预测误差的过程。”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7F9E82EB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模型提供了文字解释：XGBoost是通过不断添加新的树来拟合上一轮预测的残差，并通过梯度下降来最小化损失函数。同时生成了一段Mermaid代码，流程图包含“初始化模型”、“计算负梯度”、“拟合新树”、“更新模型”、“达到停止条件？”等节点。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01CB32F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1. 准确性校验：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​ 核对了文字解释和流程图，发现其对“梯度”的核心作用描述准确。</w:t>
            </w: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无需修正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2. 可视化优化：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​ 原始Mermaid代码生成的流程图节点较多，布局不够紧凑。</w:t>
            </w: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人工调整了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Mermaid语法中的布局方向（从默认的TB改为LR，即从左到右），并简化了部分节点文字，使流程图在PPT中更清晰易读。</w:t>
            </w:r>
          </w:p>
        </w:tc>
      </w:tr>
      <w:tr w14:paraId="01672E5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74730F6F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3. 项目文档：起草数据安全方案大纲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5C940E9C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角色+背景+要求：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 xml:space="preserve">​ 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“假设你是一家电商公司的数据平台工程师。公司计划建设一个用户画像数据平台，需要起草一份《数据安全与合规管理方案》的大纲。请列出核心章节标题，并确保包含：数据采集授权、数据传输与存储加密、数据匿名化处理、GDPR等合规性考量等关键部分。”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0BD203E5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模型输出了一个结构完整的大纲，包含：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1. 引言（背景与目标）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2. 数据分类与分级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3. 数据生命周期安全管控（采集、传输、存储、处理、销毁）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4. 合规性要求（GDPR、个人信息保护法）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5. 组织与责任体系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6. 附录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92" w:type="dxa"/>
              <w:bottom w:w="92" w:type="dxa"/>
              <w:right w:w="110" w:type="dxa"/>
            </w:tcMar>
            <w:vAlign w:val="center"/>
          </w:tcPr>
          <w:p w14:paraId="79F16351">
            <w:pPr>
              <w:keepNext w:val="0"/>
              <w:keepLines w:val="0"/>
              <w:widowControl/>
              <w:suppressLineNumbers w:val="0"/>
              <w:jc w:val="left"/>
              <w:rPr>
                <w:color w:val="000000"/>
                <w:sz w:val="13"/>
                <w:szCs w:val="13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1. 专业性深化：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​ 模型提供的是通用框架。</w:t>
            </w: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人工补充了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关键技术细节：在“数据匿名化处理”章节下，明确提出了“k-匿名”和“差分隐私”两种技术的对比，并建议在用户画像不同场景下选择使用。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2. 业务贴合度提升：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​ 在“数据采集授权”部分，</w:t>
            </w: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补充了</w:t>
            </w:r>
            <w:r>
              <w:rPr>
                <w:rFonts w:ascii="宋体" w:hAnsi="宋体" w:eastAsia="宋体" w:cs="宋体"/>
                <w:color w:val="000000"/>
                <w:kern w:val="0"/>
                <w:sz w:val="13"/>
                <w:szCs w:val="13"/>
                <w:bdr w:val="none" w:color="auto" w:sz="0" w:space="0"/>
                <w:lang w:val="en-US" w:eastAsia="zh-CN" w:bidi="ar"/>
              </w:rPr>
              <w:t>具体的前端交互设计要点，如“勾选式授权”、“授权目的明确说明”等，使方案更落地。</w:t>
            </w:r>
          </w:p>
        </w:tc>
      </w:tr>
    </w:tbl>
    <w:p w14:paraId="3B6433B2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大模型使用逻辑、问题及解决方法</w:t>
      </w:r>
      <w:r>
        <w:t xml:space="preserve"> </w:t>
      </w:r>
    </w:p>
    <w:p w14:paraId="6381C6CE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一、大模型使用逻辑</w:t>
      </w:r>
      <w:r>
        <w:t xml:space="preserve"> </w:t>
      </w:r>
    </w:p>
    <w:p w14:paraId="3B4E58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本次作业中，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核心使用逻辑遵循以下闭环： </w:t>
      </w:r>
    </w:p>
    <w:p w14:paraId="5C823F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明确需求与分解任务：</w:t>
      </w:r>
      <w:r>
        <w:t xml:space="preserve">​ 在向大模型提问前，首先由我（使用者）基于专业知识，明确需要解决的具体问题（如“我需要一段数据清洗代码”），并将复杂任务分解为清晰的子步骤。 </w:t>
      </w:r>
    </w:p>
    <w:p w14:paraId="0747F8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精心设计Prompt：</w:t>
      </w:r>
      <w:r>
        <w:t xml:space="preserve">​ 这是关键一步。我采用了 </w:t>
      </w:r>
      <w:r>
        <w:rPr>
          <w:rStyle w:val="6"/>
        </w:rPr>
        <w:t>“角色扮演 + 任务描述 + 约束条件 + 输出格式”</w:t>
      </w:r>
      <w:r>
        <w:t xml:space="preserve">​ 的结构化Prompt设计方法。例如，指定模型扮演“资深数据科学家”，给出具体的数据集字段和任务要求，并指定输出为“带注释的Python代码”。这能极大提高模型输出内容的相关性和质量。 </w:t>
      </w:r>
    </w:p>
    <w:p w14:paraId="13CF0A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批判性评估与验证：</w:t>
      </w:r>
      <w:r>
        <w:t>​ 收到模型输出后，绝不直接采纳。而是基于专业知识和教科书、官方文档等权威资料，对其进行的</w:t>
      </w:r>
      <w:r>
        <w:rPr>
          <w:rStyle w:val="6"/>
        </w:rPr>
        <w:t>准确性、逻辑性和安全性</w:t>
      </w:r>
      <w:r>
        <w:t xml:space="preserve">进行严格校验。这是体现“专业判断”的核心环节。 </w:t>
      </w:r>
    </w:p>
    <w:p w14:paraId="62E536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人工修正与知识整合：</w:t>
      </w:r>
      <w:r>
        <w:t xml:space="preserve">​ 针对校验发现的问题或不足，进行人工干预和优化。将模型的“原始输出”转化为符合特定业务场景、技术标准和最佳实践的“最终成果”，并整合到我的知识体系中。 </w:t>
      </w:r>
    </w:p>
    <w:p w14:paraId="263DAA7A">
      <w:pPr>
        <w:pStyle w:val="3"/>
        <w:keepNext w:val="0"/>
        <w:keepLines w:val="0"/>
        <w:widowControl/>
        <w:suppressLineNumbers w:val="0"/>
      </w:pPr>
      <w:r>
        <w:rPr>
          <w:rStyle w:val="6"/>
          <w:b/>
        </w:rPr>
        <w:t>二、遇到的问题及解决方法</w:t>
      </w:r>
      <w:r>
        <w:t xml:space="preserve"> </w:t>
      </w:r>
    </w:p>
    <w:p w14:paraId="7F314E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问题：技术方案的“通用性”与“业务特异性”冲突</w:t>
      </w:r>
      <w:r>
        <w:t xml:space="preserve"> </w:t>
      </w:r>
    </w:p>
    <w:p w14:paraId="4373AA6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表现：</w:t>
      </w:r>
      <w:r>
        <w:t xml:space="preserve">​ 大模型生成的代码或方案往往是“最优实践”的泛化版本，但可能不适用于特定业务场景。例如，在“异常值检测”场景中，模型默认使用1.5倍IQR，这可能将高消费客户误判为异常值。 </w:t>
      </w:r>
    </w:p>
    <w:p w14:paraId="70FA45A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解决方法：</w:t>
      </w:r>
      <w:r>
        <w:t xml:space="preserve">​ </w:t>
      </w:r>
      <w:r>
        <w:rPr>
          <w:rStyle w:val="6"/>
        </w:rPr>
        <w:t>强化业务理解主导原则</w:t>
      </w:r>
      <w:r>
        <w:t xml:space="preserve">。我并未直接使用模型的代码，而是先理解其逻辑，然后根据“电商用户消费金额长尾分布”这一业务常识，将“直接删除”修正为“标记并后续分析”，体现了数据科学家基于业务知识进行决策的核心能力。 </w:t>
      </w:r>
    </w:p>
    <w:p w14:paraId="10E758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问题：模型知识的“滞后性”与“表面性”</w:t>
      </w:r>
      <w:r>
        <w:t xml:space="preserve"> </w:t>
      </w:r>
    </w:p>
    <w:p w14:paraId="7A587B5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表现：</w:t>
      </w:r>
      <w:r>
        <w:t xml:space="preserve">​ 大模型的知识库有截止日期，且对某些深度技术细节的理解可能停留在概念层面。例如，在“数据匿名化”部分，模型只能给出通用术语，而无法深入比较不同技术的优劣。 </w:t>
      </w:r>
    </w:p>
    <w:p w14:paraId="0272916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解决方法：</w:t>
      </w:r>
      <w:r>
        <w:t xml:space="preserve">​ </w:t>
      </w:r>
      <w:r>
        <w:rPr>
          <w:rStyle w:val="6"/>
        </w:rPr>
        <w:t>将大模型作为思考的起点，而非终点</w:t>
      </w:r>
      <w:r>
        <w:t xml:space="preserve">。利用模型快速生成框架和方向（如数据安全大纲），然后通过查阅权威教材、技术博客和论文（如《数据密集型应用系统设计》中关于隐私技术的章节）来补充和深化细节，确保内容的深度和技术前沿性。 </w:t>
      </w:r>
    </w:p>
    <w:p w14:paraId="2F813E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问题：对模型输出产生“过度依赖”或“迷信”的风险</w:t>
      </w:r>
      <w:r>
        <w:t xml:space="preserve"> </w:t>
      </w:r>
    </w:p>
    <w:p w14:paraId="73F9BB0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表现：</w:t>
      </w:r>
      <w:r>
        <w:t xml:space="preserve">​ 当模型输出看起来非常完整和专业时，容易不假思索地全盘接受，放松警惕。 </w:t>
      </w:r>
    </w:p>
    <w:p w14:paraId="413721A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解决方法：</w:t>
      </w:r>
      <w:r>
        <w:t xml:space="preserve">​ </w:t>
      </w:r>
      <w:r>
        <w:rPr>
          <w:rStyle w:val="6"/>
        </w:rPr>
        <w:t>建立“强制校验”机制</w:t>
      </w:r>
      <w:r>
        <w:t xml:space="preserve">。在流程上规定，任何模型生成的代码都必须手动模拟数据运行测试；任何模型解释的概念都必须用自己理解的语言重新复述一遍。通过这种方式，始终保持批判性思维，确保自己对最终产出拥有完全的控制权和理解度。 </w:t>
      </w:r>
    </w:p>
    <w:p w14:paraId="7C68E88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总结：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​ 本次实践让我深刻体会到，大模型是强大的效率放大器，但它无法替代专业领域知识、批判性思维和业务洞察力。未来的数据科学家，必须是既能高效利用AI工具，又能坚守专业底线、进行独立判断的复合型人才。 </w:t>
      </w:r>
    </w:p>
    <w:p w14:paraId="56764EB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9B1889"/>
    <w:multiLevelType w:val="multilevel"/>
    <w:tmpl w:val="E89B18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C2E19B9"/>
    <w:multiLevelType w:val="multilevel"/>
    <w:tmpl w:val="2C2E19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7B7BE8"/>
    <w:rsid w:val="4D7B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2025-12-18T15:05:00Z</dcterms:created>
  <dc:creator>郑瑾</dc:creator>
  <cp:lastModifiedBy>郑瑾</cp:lastModifiedBy>
  <dcterms:modified xsi:type="dcterms:W3CDTF">2025-12-18T15:09:59Z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CA166372D2324B6BAF55E3C8DEB05689_11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