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D320随车吊TL2A车架强度分析CAE 分析报告</w:t>
      </w:r>
    </w:p>
    <w:p>
      <w:pPr>
        <w:jc w:val="center"/>
      </w:pPr>
      <w:r>
        <w:rPr>
          <w:b w:val="0"/>
          <w:i w:val="0"/>
          <w:color w:val="808080"/>
          <w:sz w:val="20"/>
          <w:rFonts w:eastAsia="宋体" w:ascii="Times New Roman" w:hAnsi="Times New Roman"/>
        </w:rPr>
        <w:t>东风商用车有限公司技术中心　·　CAE 分析报告　·　编号：332820-xxx-2026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r>
              <w:t>角色</w:t>
            </w:r>
          </w:p>
        </w:tc>
        <w:tc>
          <w:tcPr>
            <w:tcW w:type="dxa" w:w="2880"/>
            <w:shd w:val="clear" w:fill="D9D9D9"/>
          </w:tcPr>
          <w:p>
            <w:r>
              <w:t>姓名</w:t>
            </w:r>
          </w:p>
        </w:tc>
        <w:tc>
          <w:tcPr>
            <w:tcW w:type="dxa" w:w="2880"/>
            <w:shd w:val="clear" w:fill="D9D9D9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编制</w:t>
            </w:r>
          </w:p>
        </w:tc>
        <w:tc>
          <w:tcPr>
            <w:tcW w:type="dxa" w:w="2880"/>
          </w:tcPr>
          <w:p>
            <w:r>
              <w:t>李智勇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</w:tr>
      <w:tr>
        <w:tc>
          <w:tcPr>
            <w:tcW w:type="dxa" w:w="2880"/>
          </w:tcPr>
          <w:p>
            <w:r>
              <w:t>校对</w:t>
            </w:r>
          </w:p>
        </w:tc>
        <w:tc>
          <w:tcPr>
            <w:tcW w:type="dxa" w:w="2880"/>
          </w:tcPr>
          <w:p>
            <w:r>
              <w:t>王辉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</w:tr>
      <w:tr>
        <w:tc>
          <w:tcPr>
            <w:tcW w:type="dxa" w:w="2880"/>
          </w:tcPr>
          <w:p>
            <w:r>
              <w:t>审核</w:t>
            </w:r>
          </w:p>
        </w:tc>
        <w:tc>
          <w:tcPr>
            <w:tcW w:type="dxa" w:w="2880"/>
          </w:tcPr>
          <w:p>
            <w:r>
              <w:t>刘道勇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</w:tr>
      <w:tr>
        <w:tc>
          <w:tcPr>
            <w:tcW w:type="dxa" w:w="2880"/>
          </w:tcPr>
          <w:p>
            <w:r>
              <w:t>批准</w:t>
            </w:r>
          </w:p>
        </w:tc>
        <w:tc>
          <w:tcPr>
            <w:tcW w:type="dxa" w:w="2880"/>
          </w:tcPr>
          <w:p>
            <w:r>
              <w:t>成杏林</w:t>
            </w:r>
          </w:p>
        </w:tc>
        <w:tc>
          <w:tcPr>
            <w:tcW w:type="dxa" w:w="2880"/>
          </w:tcPr>
          <w:p>
            <w:r>
              <w:t>2026-10-20</w:t>
            </w:r>
          </w:p>
        </w:tc>
      </w:tr>
    </w:tbl>
    <w:p>
      <w:r>
        <w:br w:type="page"/>
      </w:r>
    </w:p>
    <w:p>
      <w:pPr>
        <w:pStyle w:val="Heading1"/>
      </w:pPr>
      <w:r>
        <w:t>1 分析总体情况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F2F2"/>
          </w:tcPr>
          <w:p>
            <w:r>
              <w:t>项目号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A20CTDE</w:t>
            </w:r>
          </w:p>
        </w:tc>
        <w:tc>
          <w:tcPr>
            <w:tcW w:type="dxa" w:w="2160"/>
            <w:shd w:val="clear" w:fill="F2F2F2"/>
          </w:tcPr>
          <w:p>
            <w:r>
              <w:t>任务单编号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QT21060801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报告编号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332820-xxx-2026</w:t>
            </w:r>
          </w:p>
        </w:tc>
        <w:tc>
          <w:tcPr>
            <w:tcW w:type="dxa" w:w="2160"/>
            <w:shd w:val="clear" w:fill="F2F2F2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2026-10-20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分析目的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对D320随车吊TL2A车架开展结构强度，验证设计方案的强度可行性，为设计提供依据。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分析项目及方法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强度分析采用许用应力法：许用应力＝材料屈服强度÷安全系数；标准工况系数依据《车架强度分析工况系数与材料屈服强度（企业标准）》（弯曲×1.3、扭转×1.3、转弯×1.1、扭转+转弯×1.1、制动×1.1、双扭×1），屈服强度取材料库数据；非标工况按工程师给定依据评价。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分析结论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  <w:i w:val="0"/>
                <w:rFonts w:eastAsia="宋体" w:ascii="Times New Roman" w:hAnsi="Times New Roman"/>
              </w:rPr>
              <w:t>共 6 个部件、42 个工况点参与判定：存在不合格项：外加强板在「吊点X向」超限（353MPa &gt; 326MPa）。</w:t>
            </w:r>
            <w:r>
              <w:br/>
            </w:r>
            <w:r>
              <w:rPr>
                <w:b w:val="0"/>
                <w:i w:val="0"/>
                <w:rFonts w:eastAsia="宋体" w:ascii="Times New Roman" w:hAnsi="Times New Roman"/>
              </w:rPr>
              <w:t>外加强板在「吊点X向」工况最大应力 353MPa，超过许用应力 326MPa（超限 8.3%），建议复核该区域结构（如增加圆角/改用更高强度材料）。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t>备注</w:t>
            </w:r>
          </w:p>
        </w:tc>
        <w:tc>
          <w:tcPr>
            <w:tcW w:type="dxa" w:w="6480"/>
            <w:gridSpan w:val="3"/>
          </w:tcPr>
          <w:p/>
        </w:tc>
      </w:tr>
    </w:tbl>
    <w:p>
      <w:r>
        <w:br w:type="page"/>
      </w:r>
    </w:p>
    <w:p>
      <w:pPr>
        <w:pStyle w:val="Heading1"/>
      </w:pPr>
      <w:r>
        <w:t>2 分析载荷与边界条件</w:t>
      </w:r>
    </w:p>
    <w:p>
      <w:pPr>
        <w:pStyle w:val="Heading2"/>
      </w:pPr>
      <w:r>
        <w:t>2.1 分析模型</w:t>
      </w:r>
    </w:p>
    <w:p>
      <w:r>
        <w:rPr>
          <w:b w:val="0"/>
          <w:i w:val="0"/>
          <w:rFonts w:eastAsia="宋体" w:ascii="Times New Roman" w:hAnsi="Times New Roman"/>
        </w:rPr>
        <w:t>分析采用有限元模型如下图所示。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图1 模型-有限元模型</w:t>
      </w:r>
    </w:p>
    <w:p>
      <w:pPr>
        <w:pStyle w:val="Heading2"/>
      </w:pPr>
      <w:r>
        <w:t>2.2 分析工况/边界</w:t>
      </w:r>
    </w:p>
    <w:p>
      <w:pPr>
        <w:pStyle w:val="ListBullet"/>
      </w:pPr>
      <w:r>
        <w:rPr>
          <w:rFonts w:eastAsia="宋体" w:ascii="Times New Roman" w:hAnsi="Times New Roman"/>
        </w:rPr>
        <w:t>工况1：弯曲</w:t>
      </w:r>
    </w:p>
    <w:p>
      <w:pPr>
        <w:pStyle w:val="ListBullet"/>
      </w:pPr>
      <w:r>
        <w:rPr>
          <w:rFonts w:eastAsia="宋体" w:ascii="Times New Roman" w:hAnsi="Times New Roman"/>
        </w:rPr>
        <w:t>工况2：扭转</w:t>
      </w:r>
    </w:p>
    <w:p>
      <w:pPr>
        <w:pStyle w:val="ListBullet"/>
      </w:pPr>
      <w:r>
        <w:rPr>
          <w:rFonts w:eastAsia="宋体" w:ascii="Times New Roman" w:hAnsi="Times New Roman"/>
        </w:rPr>
        <w:t>工况3：转弯</w:t>
      </w:r>
    </w:p>
    <w:p>
      <w:pPr>
        <w:pStyle w:val="ListBullet"/>
      </w:pPr>
      <w:r>
        <w:rPr>
          <w:rFonts w:eastAsia="宋体" w:ascii="Times New Roman" w:hAnsi="Times New Roman"/>
        </w:rPr>
        <w:t>工况4：扭转+转弯</w:t>
      </w:r>
    </w:p>
    <w:p>
      <w:pPr>
        <w:pStyle w:val="ListBullet"/>
      </w:pPr>
      <w:r>
        <w:rPr>
          <w:rFonts w:eastAsia="宋体" w:ascii="Times New Roman" w:hAnsi="Times New Roman"/>
        </w:rPr>
        <w:t>工况5：制动</w:t>
      </w:r>
    </w:p>
    <w:p>
      <w:pPr>
        <w:pStyle w:val="ListBullet"/>
      </w:pPr>
      <w:r>
        <w:rPr>
          <w:rFonts w:eastAsia="宋体" w:ascii="Times New Roman" w:hAnsi="Times New Roman"/>
        </w:rPr>
        <w:t>工况6：双扭</w:t>
      </w:r>
    </w:p>
    <w:p>
      <w:pPr>
        <w:pStyle w:val="ListBullet"/>
      </w:pPr>
      <w:r>
        <w:rPr>
          <w:rFonts w:eastAsia="宋体" w:ascii="Times New Roman" w:hAnsi="Times New Roman"/>
        </w:rPr>
        <w:t>工况7：吊点X向（非标）</w:t>
      </w:r>
    </w:p>
    <w:p>
      <w:pPr>
        <w:pStyle w:val="ListBullet"/>
      </w:pPr>
      <w:r>
        <w:rPr>
          <w:rFonts w:eastAsia="宋体" w:ascii="Times New Roman" w:hAnsi="Times New Roman"/>
        </w:rPr>
        <w:t>工况8：吊点Y向（非标）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图2 载荷-弯曲工况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图2 载荷-扭转+转弯工况</w:t>
      </w:r>
    </w:p>
    <w:p>
      <w:pPr>
        <w:pStyle w:val="Heading2"/>
      </w:pPr>
      <w:r>
        <w:t>2.3 材料信息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表0 部件材料信息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部件名称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材料名称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屈服强度（MPa）</w:t>
            </w:r>
          </w:p>
        </w:tc>
        <w:tc>
          <w:tcPr>
            <w:tcW w:type="dxa" w:w="2160"/>
            <w:shd w:val="clear" w:fill="D9D9D9"/>
          </w:tcPr>
          <w:p>
            <w:pPr>
              <w:jc w:val="center"/>
            </w:pPr>
            <w:r>
              <w:t>安全系数</w:t>
            </w:r>
          </w:p>
        </w:tc>
      </w:tr>
      <w:tr>
        <w:tc>
          <w:tcPr>
            <w:tcW w:type="dxa" w:w="2160"/>
          </w:tcPr>
          <w:p>
            <w:r>
              <w:t>纵梁</w:t>
            </w:r>
          </w:p>
        </w:tc>
        <w:tc>
          <w:tcPr>
            <w:tcW w:type="dxa" w:w="2160"/>
          </w:tcPr>
          <w:p>
            <w:r>
              <w:t>DL590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纵梁加强板</w:t>
            </w:r>
          </w:p>
        </w:tc>
        <w:tc>
          <w:tcPr>
            <w:tcW w:type="dxa" w:w="2160"/>
          </w:tcPr>
          <w:p>
            <w:r>
              <w:t>DL591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外加强板</w:t>
            </w:r>
          </w:p>
        </w:tc>
        <w:tc>
          <w:tcPr>
            <w:tcW w:type="dxa" w:w="2160"/>
          </w:tcPr>
          <w:p>
            <w:r>
              <w:t>DL592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第一横梁及支座</w:t>
            </w:r>
          </w:p>
        </w:tc>
        <w:tc>
          <w:tcPr>
            <w:tcW w:type="dxa" w:w="2160"/>
          </w:tcPr>
          <w:p>
            <w:r>
              <w:t>DL593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第二横梁及支座</w:t>
            </w:r>
          </w:p>
        </w:tc>
        <w:tc>
          <w:tcPr>
            <w:tcW w:type="dxa" w:w="2160"/>
          </w:tcPr>
          <w:p>
            <w:r>
              <w:t>DL594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  <w:tr>
        <w:tc>
          <w:tcPr>
            <w:tcW w:type="dxa" w:w="2160"/>
          </w:tcPr>
          <w:p>
            <w:r>
              <w:t>第三横梁及连接板</w:t>
            </w:r>
          </w:p>
        </w:tc>
        <w:tc>
          <w:tcPr>
            <w:tcW w:type="dxa" w:w="2160"/>
          </w:tcPr>
          <w:p>
            <w:r>
              <w:t>DL595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按工况系数</w:t>
            </w:r>
          </w:p>
        </w:tc>
      </w:tr>
    </w:tbl>
    <w:p>
      <w:pPr>
        <w:pStyle w:val="Heading1"/>
      </w:pPr>
      <w:r>
        <w:t>3 分析结果</w:t>
      </w:r>
    </w:p>
    <w:p>
      <w:r>
        <w:rPr>
          <w:b w:val="0"/>
          <w:i w:val="0"/>
          <w:rFonts w:eastAsia="宋体" w:ascii="Times New Roman" w:hAnsi="Times New Roman"/>
        </w:rPr>
        <w:t>3.1 强度分析结果见表1，应力云图见图3。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表1 强度分析结果（单位：MPa）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部位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工况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最大应力（MPa）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许用应力（MPa）</w:t>
            </w:r>
          </w:p>
        </w:tc>
        <w:tc>
          <w:tcPr>
            <w:tcW w:type="dxa" w:w="1728"/>
            <w:shd w:val="clear" w:fill="D9D9D9"/>
          </w:tcPr>
          <w:p>
            <w:pPr>
              <w:jc w:val="center"/>
            </w:pPr>
            <w:r>
              <w:t>判定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118.3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225.7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130.5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217.1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191.1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325.1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吊点X向</w:t>
            </w:r>
          </w:p>
        </w:tc>
        <w:tc>
          <w:tcPr>
            <w:tcW w:type="dxa" w:w="1728"/>
          </w:tcPr>
          <w:p>
            <w:r>
              <w:t>241.7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</w:t>
            </w:r>
          </w:p>
        </w:tc>
        <w:tc>
          <w:tcPr>
            <w:tcW w:type="dxa" w:w="1728"/>
          </w:tcPr>
          <w:p>
            <w:r>
              <w:t>吊点Y向</w:t>
            </w:r>
          </w:p>
        </w:tc>
        <w:tc>
          <w:tcPr>
            <w:tcW w:type="dxa" w:w="1728"/>
          </w:tcPr>
          <w:p>
            <w:r>
              <w:t>77.9</w:t>
            </w:r>
          </w:p>
        </w:tc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80.6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158.2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101.1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146.5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93.4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231.8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吊点X向</w:t>
            </w:r>
          </w:p>
        </w:tc>
        <w:tc>
          <w:tcPr>
            <w:tcW w:type="dxa" w:w="1728"/>
          </w:tcPr>
          <w:p>
            <w:r>
              <w:t>302.8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纵梁加强板</w:t>
            </w:r>
          </w:p>
        </w:tc>
        <w:tc>
          <w:tcPr>
            <w:tcW w:type="dxa" w:w="1728"/>
          </w:tcPr>
          <w:p>
            <w:r>
              <w:t>吊点Y向</w:t>
            </w:r>
          </w:p>
        </w:tc>
        <w:tc>
          <w:tcPr>
            <w:tcW w:type="dxa" w:w="1728"/>
          </w:tcPr>
          <w:p>
            <w:r>
              <w:t>66.2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76.5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151.9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92.9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173.2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65.7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200.8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吊点X向</w:t>
            </w:r>
          </w:p>
        </w:tc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不合格</w:t>
            </w:r>
          </w:p>
        </w:tc>
      </w:tr>
      <w:tr>
        <w:tc>
          <w:tcPr>
            <w:tcW w:type="dxa" w:w="1728"/>
          </w:tcPr>
          <w:p>
            <w:r>
              <w:t>外加强板</w:t>
            </w:r>
          </w:p>
        </w:tc>
        <w:tc>
          <w:tcPr>
            <w:tcW w:type="dxa" w:w="1728"/>
          </w:tcPr>
          <w:p>
            <w:r>
              <w:t>吊点Y向</w:t>
            </w:r>
          </w:p>
        </w:tc>
        <w:tc>
          <w:tcPr>
            <w:tcW w:type="dxa" w:w="1728"/>
          </w:tcPr>
          <w:p>
            <w:r>
              <w:t>105.9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48.3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128.4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55.3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122.5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61.9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第一横梁及支座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61.6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127.6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86.4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119.2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79.6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第二横梁及支座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172.1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弯曲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扭转</w:t>
            </w:r>
          </w:p>
        </w:tc>
        <w:tc>
          <w:tcPr>
            <w:tcW w:type="dxa" w:w="1728"/>
          </w:tcPr>
          <w:p>
            <w:r>
              <w:t>69.7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转弯</w:t>
            </w:r>
          </w:p>
        </w:tc>
        <w:tc>
          <w:tcPr>
            <w:tcW w:type="dxa" w:w="1728"/>
          </w:tcPr>
          <w:p>
            <w:r>
              <w:t>39.1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扭转+转弯</w:t>
            </w:r>
          </w:p>
        </w:tc>
        <w:tc>
          <w:tcPr>
            <w:tcW w:type="dxa" w:w="1728"/>
          </w:tcPr>
          <w:p>
            <w:r>
              <w:t>88.2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制动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  <w:tr>
        <w:tc>
          <w:tcPr>
            <w:tcW w:type="dxa" w:w="1728"/>
          </w:tcPr>
          <w:p>
            <w:r>
              <w:t>第三横梁及连接板</w:t>
            </w:r>
          </w:p>
        </w:tc>
        <w:tc>
          <w:tcPr>
            <w:tcW w:type="dxa" w:w="1728"/>
          </w:tcPr>
          <w:p>
            <w:r>
              <w:t>双扭</w:t>
            </w:r>
          </w:p>
        </w:tc>
        <w:tc>
          <w:tcPr>
            <w:tcW w:type="dxa" w:w="1728"/>
          </w:tcPr>
          <w:p>
            <w:r>
              <w:t>87.1</w:t>
            </w:r>
          </w:p>
        </w:tc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合格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外加强板（吊点X向工况）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第一横梁及支座（扭转工况）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纵梁（双扭工况）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图3 纵梁（扭转工况）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表2 非标工况应力峰值（单位：MPa）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工况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部位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应力峰值（MPa）</w:t>
            </w:r>
          </w:p>
        </w:tc>
      </w:tr>
      <w:tr>
        <w:tc>
          <w:tcPr>
            <w:tcW w:type="dxa" w:w="2880"/>
          </w:tcPr>
          <w:p>
            <w:r>
              <w:t>吊点X向</w:t>
            </w:r>
          </w:p>
        </w:tc>
        <w:tc>
          <w:tcPr>
            <w:tcW w:type="dxa" w:w="2880"/>
          </w:tcPr>
          <w:p>
            <w:r>
              <w:t>纵梁</w:t>
            </w:r>
          </w:p>
        </w:tc>
        <w:tc>
          <w:tcPr>
            <w:tcW w:type="dxa" w:w="2880"/>
          </w:tcPr>
          <w:p>
            <w:r>
              <w:t>241.7</w:t>
            </w:r>
          </w:p>
        </w:tc>
      </w:tr>
      <w:tr>
        <w:tc>
          <w:tcPr>
            <w:tcW w:type="dxa" w:w="2880"/>
          </w:tcPr>
          <w:p>
            <w:r>
              <w:t>吊点Y向</w:t>
            </w:r>
          </w:p>
        </w:tc>
        <w:tc>
          <w:tcPr>
            <w:tcW w:type="dxa" w:w="2880"/>
          </w:tcPr>
          <w:p>
            <w:r>
              <w:t>纵梁</w:t>
            </w:r>
          </w:p>
        </w:tc>
        <w:tc>
          <w:tcPr>
            <w:tcW w:type="dxa" w:w="2880"/>
          </w:tcPr>
          <w:p>
            <w:r>
              <w:t>77.9</w:t>
            </w:r>
          </w:p>
        </w:tc>
      </w:tr>
      <w:tr>
        <w:tc>
          <w:tcPr>
            <w:tcW w:type="dxa" w:w="2880"/>
          </w:tcPr>
          <w:p>
            <w:r>
              <w:t>吊点X向</w:t>
            </w:r>
          </w:p>
        </w:tc>
        <w:tc>
          <w:tcPr>
            <w:tcW w:type="dxa" w:w="2880"/>
          </w:tcPr>
          <w:p>
            <w:r>
              <w:t>纵梁加强板</w:t>
            </w:r>
          </w:p>
        </w:tc>
        <w:tc>
          <w:tcPr>
            <w:tcW w:type="dxa" w:w="2880"/>
          </w:tcPr>
          <w:p>
            <w:r>
              <w:t>302.8</w:t>
            </w:r>
          </w:p>
        </w:tc>
      </w:tr>
      <w:tr>
        <w:tc>
          <w:tcPr>
            <w:tcW w:type="dxa" w:w="2880"/>
          </w:tcPr>
          <w:p>
            <w:r>
              <w:t>吊点Y向</w:t>
            </w:r>
          </w:p>
        </w:tc>
        <w:tc>
          <w:tcPr>
            <w:tcW w:type="dxa" w:w="2880"/>
          </w:tcPr>
          <w:p>
            <w:r>
              <w:t>纵梁加强板</w:t>
            </w:r>
          </w:p>
        </w:tc>
        <w:tc>
          <w:tcPr>
            <w:tcW w:type="dxa" w:w="2880"/>
          </w:tcPr>
          <w:p>
            <w:r>
              <w:t>66.2</w:t>
            </w:r>
          </w:p>
        </w:tc>
      </w:tr>
      <w:tr>
        <w:tc>
          <w:tcPr>
            <w:tcW w:type="dxa" w:w="2880"/>
          </w:tcPr>
          <w:p>
            <w:r>
              <w:t>吊点X向</w:t>
            </w:r>
          </w:p>
        </w:tc>
        <w:tc>
          <w:tcPr>
            <w:tcW w:type="dxa" w:w="2880"/>
          </w:tcPr>
          <w:p>
            <w:r>
              <w:t>外加强板</w:t>
            </w:r>
          </w:p>
        </w:tc>
        <w:tc>
          <w:tcPr>
            <w:tcW w:type="dxa" w:w="2880"/>
          </w:tcPr>
          <w:p>
            <w:r>
              <w:t>353</w:t>
            </w:r>
          </w:p>
        </w:tc>
      </w:tr>
      <w:tr>
        <w:tc>
          <w:tcPr>
            <w:tcW w:type="dxa" w:w="2880"/>
          </w:tcPr>
          <w:p>
            <w:r>
              <w:t>吊点Y向</w:t>
            </w:r>
          </w:p>
        </w:tc>
        <w:tc>
          <w:tcPr>
            <w:tcW w:type="dxa" w:w="2880"/>
          </w:tcPr>
          <w:p>
            <w:r>
              <w:t>外加强板</w:t>
            </w:r>
          </w:p>
        </w:tc>
        <w:tc>
          <w:tcPr>
            <w:tcW w:type="dxa" w:w="2880"/>
          </w:tcPr>
          <w:p>
            <w:r>
              <w:t>105.9</w:t>
            </w:r>
          </w:p>
        </w:tc>
      </w:tr>
    </w:tbl>
    <w:p>
      <w:pPr>
        <w:pStyle w:val="Heading1"/>
      </w:pPr>
      <w:r>
        <w:t>4 结果分析及建议</w:t>
      </w:r>
    </w:p>
    <w:p>
      <w:r>
        <w:rPr>
          <w:b w:val="0"/>
          <w:i w:val="0"/>
          <w:rFonts w:eastAsia="宋体" w:ascii="Times New Roman" w:hAnsi="Times New Roman"/>
        </w:rPr>
        <w:t>共 6 个部件、42 个工况点参与判定：存在不合格项：外加强板在「吊点X向」超限（353MPa &gt; 326MPa）。</w:t>
      </w:r>
    </w:p>
    <w:p>
      <w:r>
        <w:rPr>
          <w:b w:val="0"/>
          <w:i w:val="0"/>
          <w:rFonts w:eastAsia="宋体" w:ascii="Times New Roman" w:hAnsi="Times New Roman"/>
        </w:rPr>
        <w:t>外加强板在「吊点X向」工况最大应力 353MPa，超过许用应力 326MPa（超限 8.3%），建议复核该区域结构（如增加圆角/改用更高强度材料）。</w:t>
      </w:r>
    </w:p>
    <w:p>
      <w:pPr>
        <w:jc w:val="center"/>
      </w:pPr>
      <w:r>
        <w:rPr>
          <w:b/>
          <w:color w:val="000000"/>
          <w:sz w:val="18"/>
          <w:rFonts w:eastAsia="宋体" w:ascii="Times New Roman" w:hAnsi="Times New Roman"/>
        </w:rPr>
        <w:t>表3 改善方案应力峰值（单位：MPa）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方案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部位</w:t>
            </w:r>
          </w:p>
        </w:tc>
        <w:tc>
          <w:tcPr>
            <w:tcW w:type="dxa" w:w="2880"/>
            <w:shd w:val="clear" w:fill="D9D9D9"/>
          </w:tcPr>
          <w:p>
            <w:pPr>
              <w:jc w:val="center"/>
            </w:pPr>
            <w:r>
              <w:t>应力峰值（MPa）</w:t>
            </w:r>
          </w:p>
        </w:tc>
      </w:tr>
    </w:tbl>
    <w:p>
      <w:r>
        <w:rPr>
          <w:i/>
          <w:color w:val="808080"/>
          <w:sz w:val="18"/>
          <w:rFonts w:eastAsia="宋体" w:ascii="Times New Roman" w:hAnsi="Times New Roman"/>
        </w:rPr>
        <w:t>（待补充：暂无数据，来源 改善方案数据（如压缩包未提供则待补充））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000000"/>
          <w:sz w:val="18"/>
          <w:rFonts w:eastAsia="宋体" w:ascii="Times New Roman" w:hAnsi="Times New Roman"/>
        </w:rPr>
        <w:t>图4 改善方案-外加强板</w:t>
      </w:r>
    </w:p>
    <w:p>
      <w:pPr>
        <w:pStyle w:val="Heading1"/>
      </w:pPr>
      <w:r>
        <w:t>5 附录</w:t>
      </w:r>
    </w:p>
    <w:p>
      <w:pPr>
        <w:pStyle w:val="Heading2"/>
      </w:pPr>
      <w:r>
        <w:t>5.1 分析对象</w:t>
      </w:r>
    </w:p>
    <w:p>
      <w:r>
        <w:rPr>
          <w:b w:val="0"/>
          <w:i w:val="0"/>
          <w:rFonts w:eastAsia="宋体" w:ascii="Times New Roman" w:hAnsi="Times New Roman"/>
        </w:rPr>
        <w:t>TL2A车架</w:t>
      </w:r>
    </w:p>
    <w:p>
      <w:pPr>
        <w:pStyle w:val="Heading2"/>
      </w:pPr>
      <w:r>
        <w:t>5.2 分析内容</w:t>
      </w:r>
    </w:p>
    <w:p>
      <w:r>
        <w:rPr>
          <w:b w:val="0"/>
          <w:i w:val="0"/>
          <w:rFonts w:eastAsia="宋体" w:ascii="Times New Roman" w:hAnsi="Times New Roman"/>
        </w:rPr>
        <w:t>结构强度（TL2A车架）</w:t>
      </w:r>
    </w:p>
    <w:p>
      <w:pPr>
        <w:pStyle w:val="Heading2"/>
      </w:pPr>
      <w:r>
        <w:t>5.3 分析软件与时间</w:t>
      </w:r>
    </w:p>
    <w:p>
      <w:r>
        <w:rPr>
          <w:b w:val="0"/>
          <w:i w:val="0"/>
          <w:rFonts w:eastAsia="宋体" w:ascii="Times New Roman" w:hAnsi="Times New Roman"/>
        </w:rPr>
        <w:t>分析软件：HyperWorks 2023.0</w:t>
      </w:r>
    </w:p>
    <w:p>
      <w:r>
        <w:rPr>
          <w:b w:val="0"/>
          <w:i w:val="0"/>
          <w:rFonts w:eastAsia="宋体" w:ascii="Times New Roman" w:hAnsi="Times New Roman"/>
        </w:rPr>
        <w:t>分析时间：2026-10-20</w:t>
      </w:r>
    </w:p>
    <w:p>
      <w:pPr>
        <w:pStyle w:val="Heading2"/>
      </w:pPr>
      <w:r>
        <w:t>5.4 分析人员</w:t>
      </w:r>
    </w:p>
    <w:p>
      <w:pPr>
        <w:pStyle w:val="ListBullet"/>
      </w:pPr>
      <w:r>
        <w:rPr>
          <w:rFonts w:eastAsia="宋体" w:ascii="Times New Roman" w:hAnsi="Times New Roman"/>
        </w:rPr>
        <w:t>分析人员（编制）：李智勇</w:t>
      </w:r>
    </w:p>
    <w:p>
      <w:pPr>
        <w:pStyle w:val="ListBullet"/>
      </w:pPr>
      <w:r>
        <w:rPr>
          <w:rFonts w:eastAsia="宋体" w:ascii="Times New Roman" w:hAnsi="Times New Roman"/>
        </w:rPr>
        <w:t>分析人员（校对）：王辉</w:t>
      </w:r>
    </w:p>
    <w:p>
      <w:pPr>
        <w:pStyle w:val="ListBullet"/>
      </w:pPr>
      <w:r>
        <w:rPr>
          <w:rFonts w:eastAsia="宋体" w:ascii="Times New Roman" w:hAnsi="Times New Roman"/>
        </w:rPr>
        <w:t>分析人员（审核）：刘道勇</w:t>
      </w:r>
    </w:p>
    <w:p>
      <w:pPr>
        <w:pStyle w:val="ListBullet"/>
      </w:pPr>
      <w:r>
        <w:rPr>
          <w:rFonts w:eastAsia="宋体" w:ascii="Times New Roman" w:hAnsi="Times New Roman"/>
        </w:rPr>
        <w:t>分析人员（批准）：成杏林</w:t>
      </w:r>
    </w:p>
    <w:p>
      <w:pPr>
        <w:jc w:val="center"/>
      </w:pPr>
      <w:r>
        <w:rPr>
          <w:color w:val="808080"/>
          <w:sz w:val="18"/>
          <w:rFonts w:eastAsia="宋体" w:ascii="Times New Roman" w:hAnsi="Times New Roman"/>
        </w:rPr>
        <w:t>—— 本报告由 CAE 仿真报告智能体生成初版，待工程师确认后生效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