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pPr>
      <w:r>
        <w:rPr>
          <w:rFonts w:ascii="Arial" w:cs="Arial" w:eastAsia="Arial" w:hAnsi="Arial"/>
          <w:b/>
          <w:bCs/>
          <w:color w:val="1F3864"/>
          <w:sz w:val="48"/>
          <w:szCs w:val="48"/>
        </w:rPr>
        <w:t xml:space="preserve">Guía de referencia personal</w:t>
      </w:r>
    </w:p>
    <w:p>
      <w:pPr>
        <w:spacing w:before="0" w:after="100"/>
      </w:pPr>
      <w:r>
        <w:rPr>
          <w:rFonts w:ascii="Arial" w:cs="Arial" w:eastAsia="Arial" w:hAnsi="Arial"/>
          <w:color w:val="2E75B6"/>
          <w:sz w:val="36"/>
          <w:szCs w:val="36"/>
        </w:rPr>
        <w:t xml:space="preserve">Prueba técnica Grupo Insur</w:t>
      </w:r>
    </w:p>
    <w:p>
      <w:pPr>
        <w:spacing w:before="0" w:after="800"/>
      </w:pPr>
      <w:r>
        <w:rPr>
          <w:rFonts w:ascii="Arial" w:cs="Arial" w:eastAsia="Arial" w:hAnsi="Arial"/>
          <w:color w:val="666666"/>
          <w:sz w:val="24"/>
          <w:szCs w:val="24"/>
        </w:rPr>
        <w:t xml:space="preserve">Análisis del mercado inmobiliario de Sevilla · Marzo 2026</w:t>
      </w:r>
    </w:p>
    <w:p>
      <w:r>
        <w:br w:type="page"/>
      </w:r>
    </w:p>
    <w:p>
      <w:pPr>
        <w:pStyle w:val="Heading1"/>
        <w:spacing w:before="360" w:after="120"/>
      </w:pPr>
      <w:r>
        <w:rPr>
          <w:rFonts w:ascii="Arial" w:cs="Arial" w:eastAsia="Arial" w:hAnsi="Arial"/>
          <w:b/>
          <w:bCs/>
          <w:color w:val="1F3864"/>
          <w:sz w:val="32"/>
          <w:szCs w:val="32"/>
        </w:rPr>
        <w:t xml:space="preserve">1. Por qué existe este proyecto</w:t>
      </w:r>
    </w:p>
    <w:p>
      <w:pPr>
        <w:spacing w:before="60" w:after="100"/>
      </w:pPr>
      <w:r>
        <w:rPr>
          <w:rFonts w:ascii="Arial" w:cs="Arial" w:eastAsia="Arial" w:hAnsi="Arial"/>
          <w:sz w:val="22"/>
          <w:szCs w:val="22"/>
        </w:rPr>
        <w:t xml:space="preserve">Joaquín Peña, el asesor técnico de IA de Grupo Insur, te pidió una prueba técnica abierta con estas instrucciones: coger estudios del sector inmobiliario de Sevilla, analizarlos con IA generativa y hacer algún modelo de Machine Learning (clustering, forecasting…). Sin dataset cerrado, sin formato obligatorio. Un lienzo en blanco.</w:t>
      </w:r>
    </w:p>
    <w:p>
      <w:pPr>
        <w:spacing w:before="0" w:after="120"/>
      </w:pPr>
    </w:p>
    <w:p>
      <w:pPr>
        <w:spacing w:before="60" w:after="100"/>
      </w:pPr>
      <w:r>
        <w:rPr>
          <w:rFonts w:ascii="Arial" w:cs="Arial" w:eastAsia="Arial" w:hAnsi="Arial"/>
          <w:sz w:val="22"/>
          <w:szCs w:val="22"/>
        </w:rPr>
        <w:t xml:space="preserve">El objetivo no era solo resolver un problema técnico, sino demostrar tres cosas a la vez:</w:t>
      </w:r>
    </w:p>
    <w:p>
      <w:pPr>
        <w:pStyle w:val="ListParagraph"/>
        <w:numPr>
          <w:ilvl w:val="0"/>
          <w:numId w:val="2"/>
        </w:numPr>
        <w:spacing w:before="40" w:after="40"/>
      </w:pPr>
      <w:r>
        <w:rPr>
          <w:rFonts w:ascii="Arial" w:cs="Arial" w:eastAsia="Arial" w:hAnsi="Arial"/>
          <w:sz w:val="22"/>
          <w:szCs w:val="22"/>
        </w:rPr>
        <w:t xml:space="preserve">Que sabes usar IA generativa de forma real y auditable, no como juguete.</w:t>
      </w:r>
    </w:p>
    <w:p>
      <w:pPr>
        <w:pStyle w:val="ListParagraph"/>
        <w:numPr>
          <w:ilvl w:val="0"/>
          <w:numId w:val="2"/>
        </w:numPr>
        <w:spacing w:before="40" w:after="40"/>
      </w:pPr>
      <w:r>
        <w:rPr>
          <w:rFonts w:ascii="Arial" w:cs="Arial" w:eastAsia="Arial" w:hAnsi="Arial"/>
          <w:sz w:val="22"/>
          <w:szCs w:val="22"/>
        </w:rPr>
        <w:t xml:space="preserve">Que sabes aplicar Machine Learning clásico con criterio (no solo ejecutar código).</w:t>
      </w:r>
    </w:p>
    <w:p>
      <w:pPr>
        <w:pStyle w:val="ListParagraph"/>
        <w:numPr>
          <w:ilvl w:val="0"/>
          <w:numId w:val="2"/>
        </w:numPr>
        <w:spacing w:before="40" w:after="40"/>
      </w:pPr>
      <w:r>
        <w:rPr>
          <w:rFonts w:ascii="Arial" w:cs="Arial" w:eastAsia="Arial" w:hAnsi="Arial"/>
          <w:sz w:val="22"/>
          <w:szCs w:val="22"/>
        </w:rPr>
        <w:t xml:space="preserve">Que puedes entregar algo presentable para una empresa que no es tech y necesita entender los resultados.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6"/>
              <w:bottom w:val="single" w:color="CCCCCC" w:sz="1"/>
              <w:right w:val="single" w:color="CCCCCC" w:sz="1"/>
            </w:tcBorders>
            <w:shd w:fill="EBF3FB" w:val="clear"/>
            <w:tcMar>
              <w:top w:type="dxa" w:w="80"/>
              <w:left w:type="dxa" w:w="160"/>
              <w:bottom w:type="dxa" w:w="80"/>
              <w:right w:type="dxa" w:w="120"/>
            </w:tcMar>
          </w:tcPr>
          <w:p>
            <w:pPr>
              <w:spacing w:before="0" w:after="0"/>
            </w:pPr>
            <w:r>
              <w:rPr>
                <w:rFonts w:ascii="Arial" w:cs="Arial" w:eastAsia="Arial" w:hAnsi="Arial"/>
                <w:i/>
                <w:iCs/>
                <w:color w:val="1F3864"/>
                <w:sz w:val="20"/>
                <w:szCs w:val="20"/>
              </w:rPr>
              <w:t xml:space="preserve">💡 Grupo Insur es una empresa inmobiliaria de 80 años, no una startup de datos. El evaluador principal (Joaquín) tiene doctorado en IA y conoce bien el terreno. Eso significa que no se puede blofear, pero sí que se puede impresionar con rigor y claridad.</w:t>
            </w:r>
          </w:p>
        </w:tc>
      </w:tr>
    </w:tbl>
    <w:p>
      <w:pPr>
        <w:spacing w:before="0" w:after="120"/>
      </w:pPr>
    </w:p>
    <w:p>
      <w:pPr>
        <w:pStyle w:val="Heading1"/>
        <w:spacing w:before="360" w:after="120"/>
      </w:pPr>
      <w:r>
        <w:rPr>
          <w:rFonts w:ascii="Arial" w:cs="Arial" w:eastAsia="Arial" w:hAnsi="Arial"/>
          <w:b/>
          <w:bCs/>
          <w:color w:val="1F3864"/>
          <w:sz w:val="32"/>
          <w:szCs w:val="32"/>
        </w:rPr>
        <w:t xml:space="preserve">2. Qué problema resuelve el análisis</w:t>
      </w:r>
    </w:p>
    <w:p>
      <w:pPr>
        <w:spacing w:before="60" w:after="100"/>
      </w:pPr>
      <w:r>
        <w:rPr>
          <w:rFonts w:ascii="Arial" w:cs="Arial" w:eastAsia="Arial" w:hAnsi="Arial"/>
          <w:sz w:val="22"/>
          <w:szCs w:val="22"/>
        </w:rPr>
        <w:t xml:space="preserve">El proyecto responde a dos preguntas concretas que cualquier empresa inmobiliaria necesita saber:</w:t>
      </w:r>
    </w:p>
    <w:p>
      <w:pPr>
        <w:spacing w:before="0" w:after="120"/>
      </w:pPr>
    </w:p>
    <w:p>
      <w:pPr>
        <w:pStyle w:val="ListParagraph"/>
        <w:numPr>
          <w:ilvl w:val="0"/>
          <w:numId w:val="2"/>
        </w:numPr>
        <w:spacing w:before="40" w:after="40"/>
      </w:pPr>
      <w:r>
        <w:rPr>
          <w:rFonts w:ascii="Arial" w:cs="Arial" w:eastAsia="Arial" w:hAnsi="Arial"/>
          <w:b/>
          <w:bCs/>
          <w:sz w:val="22"/>
          <w:szCs w:val="22"/>
        </w:rPr>
        <w:t xml:space="preserve">Pregunta 1: </w:t>
      </w:r>
      <w:r>
        <w:rPr>
          <w:rFonts w:ascii="Arial" w:cs="Arial" w:eastAsia="Arial" w:hAnsi="Arial"/>
          <w:sz w:val="22"/>
          <w:szCs w:val="22"/>
        </w:rPr>
        <w:t xml:space="preserve">¿Qué está pasando en el mercado de Sevilla ahora mismo, distrito a distrito?</w:t>
      </w:r>
    </w:p>
    <w:p>
      <w:pPr>
        <w:pStyle w:val="ListParagraph"/>
        <w:numPr>
          <w:ilvl w:val="0"/>
          <w:numId w:val="2"/>
        </w:numPr>
        <w:spacing w:before="40" w:after="40"/>
      </w:pPr>
      <w:r>
        <w:rPr>
          <w:rFonts w:ascii="Arial" w:cs="Arial" w:eastAsia="Arial" w:hAnsi="Arial"/>
          <w:b/>
          <w:bCs/>
          <w:sz w:val="22"/>
          <w:szCs w:val="22"/>
        </w:rPr>
        <w:t xml:space="preserve">Pregunta 2: </w:t>
      </w:r>
      <w:r>
        <w:rPr>
          <w:rFonts w:ascii="Arial" w:cs="Arial" w:eastAsia="Arial" w:hAnsi="Arial"/>
          <w:sz w:val="22"/>
          <w:szCs w:val="22"/>
        </w:rPr>
        <w:t xml:space="preserve">¿Hacia dónde van los precios en los próximos 18 meses?</w:t>
      </w:r>
    </w:p>
    <w:p>
      <w:pPr>
        <w:spacing w:before="0" w:after="120"/>
      </w:pPr>
    </w:p>
    <w:p>
      <w:pPr>
        <w:spacing w:before="60" w:after="100"/>
      </w:pPr>
      <w:r>
        <w:rPr>
          <w:rFonts w:ascii="Arial" w:cs="Arial" w:eastAsia="Arial" w:hAnsi="Arial"/>
          <w:sz w:val="22"/>
          <w:szCs w:val="22"/>
        </w:rPr>
        <w:t xml:space="preserve">Para responder la primera usamos clustering (agrupación de distritos por comportamiento). Para la segunda usamos forecasting (predicción de precios futuros). La IA generativa nos ayudó a extraer información de informes PDF que no estaban en formato tabla.</w:t>
      </w:r>
    </w:p>
    <w:p>
      <w:pPr>
        <w:spacing w:before="0" w:after="120"/>
      </w:pPr>
    </w:p>
    <w:p>
      <w:pPr>
        <w:pStyle w:val="Heading1"/>
        <w:spacing w:before="360" w:after="120"/>
      </w:pPr>
      <w:r>
        <w:rPr>
          <w:rFonts w:ascii="Arial" w:cs="Arial" w:eastAsia="Arial" w:hAnsi="Arial"/>
          <w:b/>
          <w:bCs/>
          <w:color w:val="1F3864"/>
          <w:sz w:val="32"/>
          <w:szCs w:val="32"/>
        </w:rPr>
        <w:t xml:space="preserve">3. Las fuentes de datos: de dónde viene todo</w:t>
      </w:r>
    </w:p>
    <w:p>
      <w:pPr>
        <w:spacing w:before="60" w:after="100"/>
      </w:pPr>
      <w:r>
        <w:rPr>
          <w:rFonts w:ascii="Arial" w:cs="Arial" w:eastAsia="Arial" w:hAnsi="Arial"/>
          <w:sz w:val="22"/>
          <w:szCs w:val="22"/>
        </w:rPr>
        <w:t xml:space="preserve">Usamos dos fuentes completamente públicas y verificables. Es importante entender que son distintas y sirven para cosas distintas: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Fuente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Qué contiene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 qué la usamos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MIVAU (Ministerio)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Precio €/m² vivienda nueva en Sevilla, cada trimestre, desde 2005 hasta 2025 (84 trimestres)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Forecasting: predecir precio futuro a nivel ciudad</w:t>
            </w:r>
          </w:p>
        </w:tc>
      </w:tr>
      <w:tr>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TINSA IMIE Mercados Locales</w:t>
            </w:r>
          </w:p>
        </w:tc>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Precio €/m² por distrito de Sevilla, 4 trimestres de 2025 (4 informes PDF trimestrales)</w:t>
            </w:r>
          </w:p>
        </w:tc>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Clustering: agrupar los 11 distritos por comportamiento</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6"/>
              <w:bottom w:val="single" w:color="CCCCCC" w:sz="1"/>
              <w:right w:val="single" w:color="CCCCCC" w:sz="1"/>
            </w:tcBorders>
            <w:shd w:fill="EBF3FB" w:val="clear"/>
            <w:tcMar>
              <w:top w:type="dxa" w:w="80"/>
              <w:left w:type="dxa" w:w="160"/>
              <w:bottom w:type="dxa" w:w="80"/>
              <w:right w:type="dxa" w:w="120"/>
            </w:tcMar>
          </w:tcPr>
          <w:p>
            <w:pPr>
              <w:spacing w:before="0" w:after="0"/>
            </w:pPr>
            <w:r>
              <w:rPr>
                <w:rFonts w:ascii="Arial" w:cs="Arial" w:eastAsia="Arial" w:hAnsi="Arial"/>
                <w:i/>
                <w:iCs/>
                <w:color w:val="1F3864"/>
                <w:sz w:val="20"/>
                <w:szCs w:val="20"/>
              </w:rPr>
              <w:t xml:space="preserve">💡 Resumen mental rápido:
MIVAU = serie larga (2005–2025), sin detalle por distrito → forecasting.
TINSA = detalle por distrito, pero solo 4 trimestres (2025) → clustering.
Si alguna vez dudas de qué fuente va a qué modelo, este es el ancla.</w:t>
            </w:r>
          </w:p>
        </w:tc>
      </w:tr>
    </w:tbl>
    <w:p>
      <w:pPr>
        <w:spacing w:before="0" w:after="120"/>
      </w:pPr>
    </w:p>
    <w:p>
      <w:pPr>
        <w:spacing w:before="60" w:after="100"/>
      </w:pPr>
      <w:r>
        <w:rPr>
          <w:rFonts w:ascii="Arial" w:cs="Arial" w:eastAsia="Arial" w:hAnsi="Arial"/>
          <w:sz w:val="22"/>
          <w:szCs w:val="22"/>
        </w:rPr>
        <w:t xml:space="preserve">El proyecto en una frase: usamos TINSA para entender cómo se comportan los distritos entre sí, y MIVAU para estimar hacia dónde va el precio medio de Sevilla.</w:t>
      </w:r>
    </w:p>
    <w:p>
      <w:pPr>
        <w:spacing w:before="0" w:after="120"/>
      </w:pPr>
    </w:p>
    <w:p>
      <w:pPr>
        <w:pStyle w:val="Heading1"/>
        <w:spacing w:before="360" w:after="120"/>
      </w:pPr>
      <w:r>
        <w:rPr>
          <w:rFonts w:ascii="Arial" w:cs="Arial" w:eastAsia="Arial" w:hAnsi="Arial"/>
          <w:b/>
          <w:bCs/>
          <w:color w:val="1F3864"/>
          <w:sz w:val="32"/>
          <w:szCs w:val="32"/>
        </w:rPr>
        <w:t xml:space="preserve">4. La capa de IA Generativa: qué hizo Claude</w:t>
      </w:r>
    </w:p>
    <w:p>
      <w:pPr>
        <w:pStyle w:val="Heading2"/>
        <w:spacing w:before="240" w:after="80"/>
      </w:pPr>
      <w:r>
        <w:rPr>
          <w:rFonts w:ascii="Arial" w:cs="Arial" w:eastAsia="Arial" w:hAnsi="Arial"/>
          <w:b/>
          <w:bCs/>
          <w:color w:val="2E75B6"/>
          <w:sz w:val="26"/>
          <w:szCs w:val="26"/>
        </w:rPr>
        <w:t xml:space="preserve">El problema</w:t>
      </w:r>
    </w:p>
    <w:p>
      <w:pPr>
        <w:spacing w:before="60" w:after="100"/>
      </w:pPr>
      <w:r>
        <w:rPr>
          <w:rFonts w:ascii="Arial" w:cs="Arial" w:eastAsia="Arial" w:hAnsi="Arial"/>
          <w:sz w:val="22"/>
          <w:szCs w:val="22"/>
        </w:rPr>
        <w:t xml:space="preserve">Los informes TINSA son PDFs. Las tablas con los datos por distrito no las recuperaba pdfplumber como tabla ordenada, pero sí sacaba los números dispersos dentro del texto del PDF. Claude identificó esos valores dentro del texto y los devolvió en un JSON ordenado.</w:t>
      </w:r>
    </w:p>
    <w:p>
      <w:pPr>
        <w:spacing w:before="0" w:after="120"/>
      </w:pPr>
    </w:p>
    <w:p>
      <w:pPr>
        <w:pStyle w:val="Heading2"/>
        <w:spacing w:before="240" w:after="80"/>
      </w:pPr>
      <w:r>
        <w:rPr>
          <w:rFonts w:ascii="Arial" w:cs="Arial" w:eastAsia="Arial" w:hAnsi="Arial"/>
          <w:b/>
          <w:bCs/>
          <w:color w:val="2E75B6"/>
          <w:sz w:val="26"/>
          <w:szCs w:val="26"/>
        </w:rPr>
        <w:t xml:space="preserve">La solución</w:t>
      </w:r>
    </w:p>
    <w:p>
      <w:pPr>
        <w:spacing w:before="60" w:after="100"/>
      </w:pPr>
      <w:r>
        <w:rPr>
          <w:rFonts w:ascii="Arial" w:cs="Arial" w:eastAsia="Arial" w:hAnsi="Arial"/>
          <w:sz w:val="22"/>
          <w:szCs w:val="22"/>
        </w:rPr>
        <w:t xml:space="preserve">Diseñamos un pipeline en dos fases:</w:t>
      </w:r>
    </w:p>
    <w:p>
      <w:pPr>
        <w:pStyle w:val="ListParagraph"/>
        <w:numPr>
          <w:ilvl w:val="0"/>
          <w:numId w:val="2"/>
        </w:numPr>
        <w:spacing w:before="40" w:after="40"/>
      </w:pPr>
      <w:r>
        <w:rPr>
          <w:rFonts w:ascii="Arial" w:cs="Arial" w:eastAsia="Arial" w:hAnsi="Arial"/>
          <w:sz w:val="22"/>
          <w:szCs w:val="22"/>
        </w:rPr>
        <w:t xml:space="preserve">Fase 1: pdfplumber extrae todo el texto del PDF tal como aparece (script 02).</w:t>
      </w:r>
    </w:p>
    <w:p>
      <w:pPr>
        <w:pStyle w:val="ListParagraph"/>
        <w:numPr>
          <w:ilvl w:val="0"/>
          <w:numId w:val="2"/>
        </w:numPr>
        <w:spacing w:before="40" w:after="40"/>
      </w:pPr>
      <w:r>
        <w:rPr>
          <w:rFonts w:ascii="Arial" w:cs="Arial" w:eastAsia="Arial" w:hAnsi="Arial"/>
          <w:sz w:val="22"/>
          <w:szCs w:val="22"/>
        </w:rPr>
        <w:t xml:space="preserve">Fase 2: Claude API lee ese texto y devuelve un JSON estructurado con los datos de Sevilla (script 03).</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6"/>
              <w:bottom w:val="single" w:color="CCCCCC" w:sz="1"/>
              <w:right w:val="single" w:color="CCCCCC" w:sz="1"/>
            </w:tcBorders>
            <w:shd w:fill="EBF3FB" w:val="clear"/>
            <w:tcMar>
              <w:top w:type="dxa" w:w="80"/>
              <w:left w:type="dxa" w:w="160"/>
              <w:bottom w:type="dxa" w:w="80"/>
              <w:right w:type="dxa" w:w="120"/>
            </w:tcMar>
          </w:tcPr>
          <w:p>
            <w:pPr>
              <w:spacing w:before="0" w:after="0"/>
            </w:pPr>
            <w:r>
              <w:rPr>
                <w:rFonts w:ascii="Arial" w:cs="Arial" w:eastAsia="Arial" w:hAnsi="Arial"/>
                <w:i/>
                <w:iCs/>
                <w:color w:val="1F3864"/>
                <w:sz w:val="20"/>
                <w:szCs w:val="20"/>
              </w:rPr>
              <w:t xml:space="preserve">💡 El prompt que le mandamos a Claude incluía instrucciones explícitas para NO inventarse datos: 'extrae solo lo que aparezca; si un campo no existe, devuelve null'. Esto es crítico para que la capa GenAI sea auditable y no alucine números.</w:t>
            </w:r>
          </w:p>
        </w:tc>
      </w:tr>
    </w:tbl>
    <w:p>
      <w:pPr>
        <w:spacing w:before="0" w:after="120"/>
      </w:pPr>
    </w:p>
    <w:p>
      <w:pPr>
        <w:pStyle w:val="Heading2"/>
        <w:spacing w:before="240" w:after="80"/>
      </w:pPr>
      <w:r>
        <w:rPr>
          <w:rFonts w:ascii="Arial" w:cs="Arial" w:eastAsia="Arial" w:hAnsi="Arial"/>
          <w:b/>
          <w:bCs/>
          <w:color w:val="2E75B6"/>
          <w:sz w:val="26"/>
          <w:szCs w:val="26"/>
        </w:rPr>
        <w:t xml:space="preserve">Cómo lo validamos</w:t>
      </w:r>
    </w:p>
    <w:p>
      <w:pPr>
        <w:spacing w:before="60" w:after="100"/>
      </w:pPr>
      <w:r>
        <w:rPr>
          <w:rFonts w:ascii="Arial" w:cs="Arial" w:eastAsia="Arial" w:hAnsi="Arial"/>
          <w:sz w:val="22"/>
          <w:szCs w:val="22"/>
        </w:rPr>
        <w:t xml:space="preserve">Una vez que Claude extrajo los datos del informe de 4T2025, los comparamos manualmente con la tabla original del PDF, página 24. Resultado: 11/11 coincidencias exactas. Eso nos da confianza de que el pipeline funciona bien.</w:t>
      </w:r>
    </w:p>
    <w:p>
      <w:pPr>
        <w:spacing w:before="0" w:after="120"/>
      </w:pPr>
    </w:p>
    <w:p>
      <w:pPr>
        <w:pStyle w:val="Heading2"/>
        <w:spacing w:before="240" w:after="80"/>
      </w:pPr>
      <w:r>
        <w:rPr>
          <w:rFonts w:ascii="Arial" w:cs="Arial" w:eastAsia="Arial" w:hAnsi="Arial"/>
          <w:b/>
          <w:bCs/>
          <w:color w:val="2E75B6"/>
          <w:sz w:val="26"/>
          <w:szCs w:val="26"/>
        </w:rPr>
        <w:t xml:space="preserve">Qué guardamos para auditoría</w:t>
      </w:r>
    </w:p>
    <w:p>
      <w:pPr>
        <w:pStyle w:val="ListParagraph"/>
        <w:numPr>
          <w:ilvl w:val="0"/>
          <w:numId w:val="2"/>
        </w:numPr>
        <w:spacing w:before="40" w:after="40"/>
      </w:pPr>
      <w:r>
        <w:rPr>
          <w:rFonts w:ascii="Arial" w:cs="Arial" w:eastAsia="Arial" w:hAnsi="Arial"/>
          <w:sz w:val="22"/>
          <w:szCs w:val="22"/>
        </w:rPr>
        <w:t xml:space="preserve">Los textos extraídos de cada PDF están en data/interim/pdf_text/</w:t>
      </w:r>
    </w:p>
    <w:p>
      <w:pPr>
        <w:pStyle w:val="ListParagraph"/>
        <w:numPr>
          <w:ilvl w:val="0"/>
          <w:numId w:val="2"/>
        </w:numPr>
        <w:spacing w:before="40" w:after="40"/>
      </w:pPr>
      <w:r>
        <w:rPr>
          <w:rFonts w:ascii="Arial" w:cs="Arial" w:eastAsia="Arial" w:hAnsi="Arial"/>
          <w:sz w:val="22"/>
          <w:szCs w:val="22"/>
        </w:rPr>
        <w:t xml:space="preserve">Los JSONs que devolvió Claude están en data/interim/pdf_json/</w:t>
      </w:r>
    </w:p>
    <w:p>
      <w:pPr>
        <w:pStyle w:val="ListParagraph"/>
        <w:numPr>
          <w:ilvl w:val="0"/>
          <w:numId w:val="2"/>
        </w:numPr>
        <w:spacing w:before="40" w:after="40"/>
      </w:pPr>
      <w:r>
        <w:rPr>
          <w:rFonts w:ascii="Arial" w:cs="Arial" w:eastAsia="Arial" w:hAnsi="Arial"/>
          <w:sz w:val="22"/>
          <w:szCs w:val="22"/>
        </w:rPr>
        <w:t xml:space="preserve">Las respuestas literales de la API (sin procesar) están en los ficheros _raw.txt</w:t>
      </w:r>
    </w:p>
    <w:p>
      <w:pPr>
        <w:pStyle w:val="ListParagraph"/>
        <w:numPr>
          <w:ilvl w:val="0"/>
          <w:numId w:val="2"/>
        </w:numPr>
        <w:spacing w:before="40" w:after="40"/>
      </w:pPr>
      <w:r>
        <w:rPr>
          <w:rFonts w:ascii="Arial" w:cs="Arial" w:eastAsia="Arial" w:hAnsi="Arial"/>
          <w:sz w:val="22"/>
          <w:szCs w:val="22"/>
        </w:rPr>
        <w:t xml:space="preserve">El prompt usado está versionado en prompts/pdf_extraction_prompt_v1.txt</w:t>
      </w:r>
    </w:p>
    <w:p>
      <w:pPr>
        <w:spacing w:before="0" w:after="120"/>
      </w:pPr>
    </w:p>
    <w:p>
      <w:pPr>
        <w:pStyle w:val="Heading1"/>
        <w:spacing w:before="360" w:after="120"/>
      </w:pPr>
      <w:r>
        <w:rPr>
          <w:rFonts w:ascii="Arial" w:cs="Arial" w:eastAsia="Arial" w:hAnsi="Arial"/>
          <w:b/>
          <w:bCs/>
          <w:color w:val="1F3864"/>
          <w:sz w:val="32"/>
          <w:szCs w:val="32"/>
        </w:rPr>
        <w:t xml:space="preserve">5. El clustering de distritos: cómo agrupamos los distritos</w:t>
      </w:r>
    </w:p>
    <w:p>
      <w:pPr>
        <w:pStyle w:val="Heading2"/>
        <w:spacing w:before="240" w:after="80"/>
      </w:pPr>
      <w:r>
        <w:rPr>
          <w:rFonts w:ascii="Arial" w:cs="Arial" w:eastAsia="Arial" w:hAnsi="Arial"/>
          <w:b/>
          <w:bCs/>
          <w:color w:val="2E75B6"/>
          <w:sz w:val="26"/>
          <w:szCs w:val="26"/>
        </w:rPr>
        <w:t xml:space="preserve">Qué es el clustering (explicado simple)</w:t>
      </w:r>
    </w:p>
    <w:p>
      <w:pPr>
        <w:spacing w:before="60" w:after="100"/>
      </w:pPr>
      <w:r>
        <w:rPr>
          <w:rFonts w:ascii="Arial" w:cs="Arial" w:eastAsia="Arial" w:hAnsi="Arial"/>
          <w:sz w:val="22"/>
          <w:szCs w:val="22"/>
        </w:rPr>
        <w:t xml:space="preserve">El clustering es un algoritmo que mira un conjunto de objetos (en nuestro caso, 11 distritos de Sevilla) y los agrupa automáticamente según su parecido. No sabe cuáles son los grupos 'correctos', pero sí necesita que le indiques cuántos grupos probar. Luego evaluamos distintas opciones de k y elegimos la más razonable con una métrica objetiva.</w:t>
      </w:r>
    </w:p>
    <w:p>
      <w:pPr>
        <w:spacing w:before="60" w:after="100"/>
      </w:pPr>
      <w:r>
        <w:rPr>
          <w:rFonts w:ascii="Arial" w:cs="Arial" w:eastAsia="Arial" w:hAnsi="Arial"/>
          <w:sz w:val="22"/>
          <w:szCs w:val="22"/>
        </w:rPr>
        <w:t xml:space="preserve">El algoritmo que usamos se llama K-Means. Funciona así: le dices cuántos grupos quieres (k), asigna cada distrito al grupo cuyo 'centro' está más cerca, recalcula los centros y repite hasta que todo encaja. Nosotros probamos k=2, 3, 4 y 5 y medimos cuál daba mejores resultados.</w:t>
      </w:r>
    </w:p>
    <w:p>
      <w:pPr>
        <w:spacing w:before="0" w:after="120"/>
      </w:pPr>
    </w:p>
    <w:p>
      <w:pPr>
        <w:pStyle w:val="Heading2"/>
        <w:spacing w:before="240" w:after="80"/>
      </w:pPr>
      <w:r>
        <w:rPr>
          <w:rFonts w:ascii="Arial" w:cs="Arial" w:eastAsia="Arial" w:hAnsi="Arial"/>
          <w:b/>
          <w:bCs/>
          <w:color w:val="2E75B6"/>
          <w:sz w:val="26"/>
          <w:szCs w:val="26"/>
        </w:rPr>
        <w:t xml:space="preserve">Con qué variables agrupamos los distritos</w:t>
      </w:r>
    </w:p>
    <w:p>
      <w:pPr>
        <w:spacing w:before="60" w:after="100"/>
      </w:pPr>
      <w:r>
        <w:rPr>
          <w:rFonts w:ascii="Arial" w:cs="Arial" w:eastAsia="Arial" w:hAnsi="Arial"/>
          <w:sz w:val="22"/>
          <w:szCs w:val="22"/>
        </w:rPr>
        <w:t xml:space="preserve">No usamos el precio solo. Usamos 5 variables que juntas describen mejor el comportamiento de cada distrito:</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Qué mide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Por qué importa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last_price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Precio €/m² en 4T 2025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 nivel de precio actual</w:t>
            </w:r>
          </w:p>
        </w:tc>
      </w:tr>
      <w:tr>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avg_yoy_pct</w:t>
            </w:r>
          </w:p>
        </w:tc>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Variación interanual media en 2025 (%) — YoY significa la variación respecto al mismo trimestre del año anterior</w:t>
            </w:r>
          </w:p>
        </w:tc>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Cuánto está creciendo ahora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yoy_accel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Aceleración interanual: diferencia entre el YoY del último trimestre y el primero del año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 el mercado se está calentando o enfriando</w:t>
            </w:r>
          </w:p>
        </w:tc>
      </w:tr>
      <w:tr>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avg_cagr_5y</w:t>
            </w:r>
          </w:p>
        </w:tc>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CAGR 5 años: ritmo medio anual al que ha crecido el precio de ese distrito en los últimos 5 años</w:t>
            </w:r>
          </w:p>
        </w:tc>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Tendencia estructural, no solo coyuntural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price_vol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Volatilidad del precio en 2025: cuánto ha oscilado el precio entre los cuatro trimestres del año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Estabilidad del mercado en ese distrito</w:t>
            </w:r>
          </w:p>
        </w:tc>
      </w:tr>
    </w:tbl>
    <w:p>
      <w:pPr>
        <w:spacing w:before="0" w:after="120"/>
      </w:pPr>
    </w:p>
    <w:p>
      <w:pPr>
        <w:pStyle w:val="Heading2"/>
        <w:spacing w:before="240" w:after="80"/>
      </w:pPr>
      <w:r>
        <w:rPr>
          <w:rFonts w:ascii="Arial" w:cs="Arial" w:eastAsia="Arial" w:hAnsi="Arial"/>
          <w:b/>
          <w:bCs/>
          <w:color w:val="2E75B6"/>
          <w:sz w:val="26"/>
          <w:szCs w:val="26"/>
        </w:rPr>
        <w:t xml:space="preserve">Cómo elegimos el número de grupos (k=4)</w:t>
      </w:r>
    </w:p>
    <w:p>
      <w:pPr>
        <w:spacing w:before="60" w:after="100"/>
      </w:pPr>
      <w:r>
        <w:rPr>
          <w:rFonts w:ascii="Arial" w:cs="Arial" w:eastAsia="Arial" w:hAnsi="Arial"/>
          <w:sz w:val="22"/>
          <w:szCs w:val="22"/>
        </w:rPr>
        <w:t xml:space="preserve">Probamos distintos valores de k y medimos la calidad de cada solución con una métrica llamada silhouette score (va de -1 a 1; cuanto más alto, mejor separados están los grupos). No es una nota absoluta de 'bueno o malo'; sirve sobre todo para comparar unas soluciones con otras. En clustering real con pocos datos, no hace falta obtener valores muy altos; lo importante es elegir la solución más separada e interpretable. El resultado:</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 (grupos)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Silhouette score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0.249</w:t>
            </w:r>
          </w:p>
        </w:tc>
      </w:tr>
      <w:tr>
        <w:tc>
          <w:tcPr>
            <w:tcW w:type="dxa" w:w="46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3</w:t>
            </w:r>
          </w:p>
        </w:tc>
        <w:tc>
          <w:tcPr>
            <w:tcW w:type="dxa" w:w="46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0.231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 elegido</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0.257</w:t>
            </w:r>
          </w:p>
        </w:tc>
      </w:tr>
      <w:tr>
        <w:tc>
          <w:tcPr>
            <w:tcW w:type="dxa" w:w="46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5</w:t>
            </w:r>
          </w:p>
        </w:tc>
        <w:tc>
          <w:tcPr>
            <w:tcW w:type="dxa" w:w="468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0.254</w:t>
            </w:r>
          </w:p>
        </w:tc>
      </w:tr>
    </w:tbl>
    <w:p>
      <w:pPr>
        <w:spacing w:before="0" w:after="120"/>
      </w:pPr>
    </w:p>
    <w:p>
      <w:pPr>
        <w:spacing w:before="60" w:after="100"/>
      </w:pPr>
      <w:r>
        <w:rPr>
          <w:rFonts w:ascii="Arial" w:cs="Arial" w:eastAsia="Arial" w:hAnsi="Arial"/>
          <w:sz w:val="22"/>
          <w:szCs w:val="22"/>
        </w:rPr>
        <w:t xml:space="preserve">k=4 tiene el silhouette más alto. k=5 es casi igual pero genera grupos de 1-2 distritos que son difíciles de interpretar con solo 11 elementos. k=2 pierde demasiado detalle. k=4 es el mejor equilibrio entre precisión matemática e interpretabilidad para negocio.</w:t>
      </w:r>
    </w:p>
    <w:p>
      <w:pPr>
        <w:spacing w:before="0" w:after="120"/>
      </w:pPr>
    </w:p>
    <w:p>
      <w:pPr>
        <w:pStyle w:val="Heading2"/>
        <w:spacing w:before="240" w:after="80"/>
      </w:pPr>
      <w:r>
        <w:rPr>
          <w:rFonts w:ascii="Arial" w:cs="Arial" w:eastAsia="Arial" w:hAnsi="Arial"/>
          <w:b/>
          <w:bCs/>
          <w:color w:val="2E75B6"/>
          <w:sz w:val="26"/>
          <w:szCs w:val="26"/>
        </w:rPr>
        <w:t xml:space="preserve">Los 4 perfiles que encontramos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Distritos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Precio medio</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Señal clave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Premium consolidado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Casco Antiguo, Nervión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&gt;3.100 €/m²</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Precio alto, crecimiento sólido, mercado maduro</w:t>
            </w:r>
          </w:p>
        </w:tc>
      </w:tr>
      <w:tr>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Mercado estabilizado</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Los Remedios, Sur, Cerro-Amate</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~2.287 €/m²</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Bajo dinamismo. Ojo: Los Remedios tiene precio alto pero se está enfriando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Dinamismo sostenido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Triana, Macarena, Bellavista, Este, Norte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~2.263 €/m²</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Grupo más numeroso, crecimiento estable y sostenido</w:t>
            </w:r>
          </w:p>
        </w:tc>
      </w:tr>
      <w:tr>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Alta tracción emergente</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San Pablo-Santa Justa</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2.369 €/m²</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Mayor aceleración de todo Sevilla (+14 pp), señal de aceleración emergente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6"/>
              <w:bottom w:val="single" w:color="CCCCCC" w:sz="1"/>
              <w:right w:val="single" w:color="CCCCCC" w:sz="1"/>
            </w:tcBorders>
            <w:shd w:fill="EBF3FB" w:val="clear"/>
            <w:tcMar>
              <w:top w:type="dxa" w:w="80"/>
              <w:left w:type="dxa" w:w="160"/>
              <w:bottom w:type="dxa" w:w="80"/>
              <w:right w:type="dxa" w:w="120"/>
            </w:tcMar>
          </w:tcPr>
          <w:p>
            <w:pPr>
              <w:spacing w:before="0" w:after="0"/>
            </w:pPr>
            <w:r>
              <w:rPr>
                <w:rFonts w:ascii="Arial" w:cs="Arial" w:eastAsia="Arial" w:hAnsi="Arial"/>
                <w:i/>
                <w:iCs/>
                <w:color w:val="1F3864"/>
                <w:sz w:val="20"/>
                <w:szCs w:val="20"/>
              </w:rPr>
              <w:t xml:space="preserve">💡 Los Remedios merece atención especial: tiene el segundo precio más alto de Sevilla (3.054 €/m²) pero está en el grupo de 'mercado estabilizado'. Eso no es un error del modelo. Es que su comportamiento (crecimiento bajo, aceleración negativa) lo acerca más a distritos tranquilos que a distritos premium en expansión. El algoritmo captura el comportamiento, no solo el precio.</w:t>
            </w:r>
          </w:p>
        </w:tc>
      </w:tr>
    </w:tbl>
    <w:p>
      <w:pPr>
        <w:spacing w:before="0" w:after="120"/>
      </w:pPr>
    </w:p>
    <w:p>
      <w:pPr>
        <w:pStyle w:val="Heading2"/>
        <w:spacing w:before="240" w:after="80"/>
      </w:pPr>
      <w:r>
        <w:rPr>
          <w:rFonts w:ascii="Arial" w:cs="Arial" w:eastAsia="Arial" w:hAnsi="Arial"/>
          <w:b/>
          <w:bCs/>
          <w:color w:val="2E75B6"/>
          <w:sz w:val="26"/>
          <w:szCs w:val="26"/>
        </w:rPr>
        <w:t xml:space="preserve">Cómo validamos que San Pablo-Santa Justa es un grupo de uno con sentido</w:t>
      </w:r>
    </w:p>
    <w:p>
      <w:pPr>
        <w:spacing w:before="60" w:after="100"/>
      </w:pPr>
      <w:r>
        <w:rPr>
          <w:rFonts w:ascii="Arial" w:cs="Arial" w:eastAsia="Arial" w:hAnsi="Arial"/>
          <w:sz w:val="22"/>
          <w:szCs w:val="22"/>
        </w:rPr>
        <w:t xml:space="preserve">Cuando el algoritmo deja un solo distrito en un grupo, la primera reacción es pensar que algo salió mal. Para verificar que no era un artefacto, ejecutamos el K-Means 20 veces con semillas aleatorias distintas y miramos si San Pablo-Santa Justa alguna vez 'se escapaba' a otro grupo. Resultado: en ninguna de las 20 ejecuciones compartió grupo con ningún otro distrito. Dicho de forma simple: el algoritmo lo separa siempre porque se comporta distinto al resto.</w:t>
      </w:r>
    </w:p>
    <w:p>
      <w:pPr>
        <w:spacing w:before="0" w:after="120"/>
      </w:pPr>
    </w:p>
    <w:p>
      <w:pPr>
        <w:pStyle w:val="Heading1"/>
        <w:spacing w:before="360" w:after="120"/>
      </w:pPr>
      <w:r>
        <w:rPr>
          <w:rFonts w:ascii="Arial" w:cs="Arial" w:eastAsia="Arial" w:hAnsi="Arial"/>
          <w:b/>
          <w:bCs/>
          <w:color w:val="1F3864"/>
          <w:sz w:val="32"/>
          <w:szCs w:val="32"/>
        </w:rPr>
        <w:t xml:space="preserve">6. El forecasting de precios: cómo predecimos el futuro</w:t>
      </w:r>
    </w:p>
    <w:p>
      <w:pPr>
        <w:pStyle w:val="Heading2"/>
        <w:spacing w:before="240" w:after="80"/>
      </w:pPr>
      <w:r>
        <w:rPr>
          <w:rFonts w:ascii="Arial" w:cs="Arial" w:eastAsia="Arial" w:hAnsi="Arial"/>
          <w:b/>
          <w:bCs/>
          <w:color w:val="2E75B6"/>
          <w:sz w:val="26"/>
          <w:szCs w:val="26"/>
        </w:rPr>
        <w:t xml:space="preserve">Qué es el forecasting (explicado simple)</w:t>
      </w:r>
    </w:p>
    <w:p>
      <w:pPr>
        <w:spacing w:before="60" w:after="100"/>
      </w:pPr>
      <w:r>
        <w:rPr>
          <w:rFonts w:ascii="Arial" w:cs="Arial" w:eastAsia="Arial" w:hAnsi="Arial"/>
          <w:sz w:val="22"/>
          <w:szCs w:val="22"/>
        </w:rPr>
        <w:t xml:space="preserve">El forecasting es predecir valores futuros a partir de valores pasados. En nuestro caso: usando el histórico de precio €/m² en Sevilla desde 2005 hasta 2025 (84 trimestres), predecimos los próximos 6 trimestres (2026Q1 hasta 2027Q2).</w:t>
      </w:r>
    </w:p>
    <w:p>
      <w:pPr>
        <w:spacing w:before="0" w:after="120"/>
      </w:pPr>
    </w:p>
    <w:p>
      <w:pPr>
        <w:pStyle w:val="Heading2"/>
        <w:spacing w:before="240" w:after="80"/>
      </w:pPr>
      <w:r>
        <w:rPr>
          <w:rFonts w:ascii="Arial" w:cs="Arial" w:eastAsia="Arial" w:hAnsi="Arial"/>
          <w:b/>
          <w:bCs/>
          <w:color w:val="2E75B6"/>
          <w:sz w:val="26"/>
          <w:szCs w:val="26"/>
        </w:rPr>
        <w:t xml:space="preserve">Los dos modelos que usamos</w:t>
      </w:r>
    </w:p>
    <w:p>
      <w:pPr>
        <w:spacing w:before="60" w:after="100"/>
      </w:pPr>
      <w:r>
        <w:rPr>
          <w:rFonts w:ascii="Arial" w:cs="Arial" w:eastAsia="Arial" w:hAnsi="Arial"/>
          <w:b/>
          <w:bCs/>
          <w:sz w:val="22"/>
          <w:szCs w:val="22"/>
        </w:rPr>
        <w:t xml:space="preserve">SARIMA</w:t>
      </w:r>
      <w:r>
        <w:rPr>
          <w:rFonts w:ascii="Arial" w:cs="Arial" w:eastAsia="Arial" w:hAnsi="Arial"/>
          <w:sz w:val="22"/>
          <w:szCs w:val="22"/>
        </w:rPr>
        <w:t xml:space="preserve">: modelo estadístico clásico para series temporales. Captura tendencia, estacionalidad (patrones que se repiten cada año) y correlaciones entre trimestres consecutivos. Es el modelo que elegimos como principal.</w:t>
      </w:r>
    </w:p>
    <w:p>
      <w:pPr>
        <w:spacing w:before="60" w:after="100"/>
      </w:pPr>
      <w:r>
        <w:rPr>
          <w:rFonts w:ascii="Arial" w:cs="Arial" w:eastAsia="Arial" w:hAnsi="Arial"/>
          <w:b/>
          <w:bCs/>
          <w:sz w:val="22"/>
          <w:szCs w:val="22"/>
        </w:rPr>
        <w:t xml:space="preserve">Prophet</w:t>
      </w:r>
      <w:r>
        <w:rPr>
          <w:rFonts w:ascii="Arial" w:cs="Arial" w:eastAsia="Arial" w:hAnsi="Arial"/>
          <w:sz w:val="22"/>
          <w:szCs w:val="22"/>
        </w:rPr>
        <w:t xml:space="preserve">: modelo de Facebook/Meta, más moderno y fácil de usar. Útil como comparación, pero en nuestro caso rindió peor en el periodo de validación.</w:t>
      </w:r>
    </w:p>
    <w:p>
      <w:pPr>
        <w:spacing w:before="0" w:after="120"/>
      </w:pPr>
    </w:p>
    <w:p>
      <w:pPr>
        <w:pStyle w:val="Heading2"/>
        <w:spacing w:before="240" w:after="80"/>
      </w:pPr>
      <w:r>
        <w:rPr>
          <w:rFonts w:ascii="Arial" w:cs="Arial" w:eastAsia="Arial" w:hAnsi="Arial"/>
          <w:b/>
          <w:bCs/>
          <w:color w:val="2E75B6"/>
          <w:sz w:val="26"/>
          <w:szCs w:val="26"/>
        </w:rPr>
        <w:t xml:space="preserve">Cómo evaluamos cuál es mejor (y por qué esto es importante)</w:t>
      </w:r>
    </w:p>
    <w:p>
      <w:pPr>
        <w:spacing w:before="60" w:after="100"/>
      </w:pPr>
      <w:r>
        <w:rPr>
          <w:rFonts w:ascii="Arial" w:cs="Arial" w:eastAsia="Arial" w:hAnsi="Arial"/>
          <w:sz w:val="22"/>
          <w:szCs w:val="22"/>
        </w:rPr>
        <w:t xml:space="preserve">No se puede usar el modelo directamente sobre datos futuros sin saber cómo de bueno es. La forma correcta es dividir los datos históricos en dos partes:</w:t>
      </w:r>
    </w:p>
    <w:p>
      <w:pPr>
        <w:pStyle w:val="ListParagraph"/>
        <w:numPr>
          <w:ilvl w:val="0"/>
          <w:numId w:val="2"/>
        </w:numPr>
        <w:spacing w:before="40" w:after="40"/>
      </w:pPr>
      <w:r>
        <w:rPr>
          <w:rFonts w:ascii="Arial" w:cs="Arial" w:eastAsia="Arial" w:hAnsi="Arial"/>
          <w:sz w:val="22"/>
          <w:szCs w:val="22"/>
        </w:rPr>
        <w:t xml:space="preserve">Train (entrenamiento): 2005Q1 hasta 2023Q4 → el modelo aprende con estos datos.</w:t>
      </w:r>
    </w:p>
    <w:p>
      <w:pPr>
        <w:pStyle w:val="ListParagraph"/>
        <w:numPr>
          <w:ilvl w:val="0"/>
          <w:numId w:val="2"/>
        </w:numPr>
        <w:spacing w:before="40" w:after="40"/>
      </w:pPr>
      <w:r>
        <w:rPr>
          <w:rFonts w:ascii="Arial" w:cs="Arial" w:eastAsia="Arial" w:hAnsi="Arial"/>
          <w:sz w:val="22"/>
          <w:szCs w:val="22"/>
        </w:rPr>
        <w:t xml:space="preserve">Test (validación): 2024Q1 hasta 2025Q4 (los últimos 8 trimestres) → simulamos que no los conocemos y vemos si el modelo los predice bien.</w:t>
      </w:r>
    </w:p>
    <w:p>
      <w:pPr>
        <w:spacing w:before="0" w:after="120"/>
      </w:pPr>
    </w:p>
    <w:p>
      <w:pPr>
        <w:spacing w:before="60" w:after="100"/>
      </w:pPr>
      <w:r>
        <w:rPr>
          <w:rFonts w:ascii="Arial" w:cs="Arial" w:eastAsia="Arial" w:hAnsi="Arial"/>
          <w:sz w:val="22"/>
          <w:szCs w:val="22"/>
        </w:rPr>
        <w:t xml:space="preserve">Si el modelo acierta bien en el test, nos da confianza para usar sus predicciones futuras. Si falla en el test, no lo usamos aunque suene bien en teoría.</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MAPE en test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MAE en test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Veredicto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Naive (repite último valor)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4,44%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113,8 €/m²</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Baseline mínimo a superar</w:t>
            </w:r>
          </w:p>
        </w:tc>
      </w:tr>
      <w:tr>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Seasonal naive</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4,97%</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130,9 €/m²</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Peor que el naive simple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SARIMA ← elegido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76,5 €/m²</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Mejor resultado, supera baselines</w:t>
            </w:r>
          </w:p>
        </w:tc>
      </w:tr>
      <w:tr>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Prophet</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19,54%</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511,2 €/m²</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Falla claramente en validación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6"/>
              <w:bottom w:val="single" w:color="CCCCCC" w:sz="1"/>
              <w:right w:val="single" w:color="CCCCCC" w:sz="1"/>
            </w:tcBorders>
            <w:shd w:fill="EBF3FB" w:val="clear"/>
            <w:tcMar>
              <w:top w:type="dxa" w:w="80"/>
              <w:left w:type="dxa" w:w="160"/>
              <w:bottom w:type="dxa" w:w="80"/>
              <w:right w:type="dxa" w:w="120"/>
            </w:tcMar>
          </w:tcPr>
          <w:p>
            <w:pPr>
              <w:spacing w:before="0" w:after="0"/>
            </w:pPr>
            <w:r>
              <w:rPr>
                <w:rFonts w:ascii="Arial" w:cs="Arial" w:eastAsia="Arial" w:hAnsi="Arial"/>
                <w:i/>
                <w:iCs/>
                <w:color w:val="1F3864"/>
                <w:sz w:val="20"/>
                <w:szCs w:val="20"/>
              </w:rPr>
              <w:t xml:space="preserve">💡 MAPE = error porcentual medio. Un MAPE de 3,04% significa que en promedio el modelo se equivoca un 3% respecto al precio real. MAE = error medio en euros por metro cuadrado (76,5 €/m² en SARIMA). Para vivienda, ambas cifras son muy razonables. Prophet rindió mucho peor en validación (MAPE 19,54%) y por eso no se eligió como modelo principal. Una posible razón es que no capturó bien la aceleración brusca de precios ocurrida en 2024-2025, aunque no ajustamos su configuración en detalle.</w:t>
            </w:r>
          </w:p>
        </w:tc>
      </w:tr>
    </w:tbl>
    <w:p>
      <w:pPr>
        <w:spacing w:before="0" w:after="120"/>
      </w:pPr>
    </w:p>
    <w:p>
      <w:pPr>
        <w:pStyle w:val="Heading2"/>
        <w:spacing w:before="240" w:after="80"/>
      </w:pPr>
      <w:r>
        <w:rPr>
          <w:rFonts w:ascii="Arial" w:cs="Arial" w:eastAsia="Arial" w:hAnsi="Arial"/>
          <w:b/>
          <w:bCs/>
          <w:color w:val="2E75B6"/>
          <w:sz w:val="26"/>
          <w:szCs w:val="26"/>
        </w:rPr>
        <w:t xml:space="preserve">Los números del forecast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Periodo</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SARIMA (€/m²)</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Prophet (€/m²)</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2026Q1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2.724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2.722</w:t>
            </w:r>
          </w:p>
        </w:tc>
      </w:tr>
      <w:tr>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2026Q2</w:t>
            </w:r>
          </w:p>
        </w:tc>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2.752</w:t>
            </w:r>
          </w:p>
        </w:tc>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2.749</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2026Q3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2.780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2.794</w:t>
            </w:r>
          </w:p>
        </w:tc>
      </w:tr>
      <w:tr>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2026Q4</w:t>
            </w:r>
          </w:p>
        </w:tc>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2.891</w:t>
            </w:r>
          </w:p>
        </w:tc>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2.884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2027Q1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2.805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2.844</w:t>
            </w:r>
          </w:p>
        </w:tc>
      </w:tr>
      <w:tr>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2027Q2</w:t>
            </w:r>
          </w:p>
        </w:tc>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2.837</w:t>
            </w:r>
          </w:p>
        </w:tc>
        <w:tc>
          <w:tcPr>
            <w:tcW w:type="dxa" w:w="312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2.873</w:t>
            </w:r>
          </w:p>
        </w:tc>
      </w:tr>
    </w:tbl>
    <w:p>
      <w:pPr>
        <w:spacing w:before="0" w:after="120"/>
      </w:pPr>
    </w:p>
    <w:p>
      <w:pPr>
        <w:spacing w:before="60" w:after="100"/>
      </w:pPr>
      <w:r>
        <w:rPr>
          <w:rFonts w:ascii="Arial" w:cs="Arial" w:eastAsia="Arial" w:hAnsi="Arial"/>
          <w:sz w:val="22"/>
          <w:szCs w:val="22"/>
        </w:rPr>
        <w:t xml:space="preserve">Aunque Prophet proyecta un rango parecido (2.720–2.890 €/m²), el forecast operativo del proyecto se apoya en SARIMA, porque fue el modelo que rindió claramente mejor en validación. La convergencia es una señal positiva, pero no cambia que Prophet falló en el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6"/>
              <w:bottom w:val="single" w:color="CCCCCC" w:sz="1"/>
              <w:right w:val="single" w:color="CCCCCC" w:sz="1"/>
            </w:tcBorders>
            <w:shd w:fill="EBF3FB" w:val="clear"/>
            <w:tcMar>
              <w:top w:type="dxa" w:w="80"/>
              <w:left w:type="dxa" w:w="160"/>
              <w:bottom w:type="dxa" w:w="80"/>
              <w:right w:type="dxa" w:w="120"/>
            </w:tcMar>
          </w:tcPr>
          <w:p>
            <w:pPr>
              <w:spacing w:before="0" w:after="0"/>
            </w:pPr>
            <w:r>
              <w:rPr>
                <w:rFonts w:ascii="Arial" w:cs="Arial" w:eastAsia="Arial" w:hAnsi="Arial"/>
                <w:i/>
                <w:iCs/>
                <w:color w:val="1F3864"/>
                <w:sz w:val="20"/>
                <w:szCs w:val="20"/>
              </w:rPr>
              <w:t xml:space="preserve">💡 El +12,4% interanual que aparece en los informes TINSA es el dato de mercado por distritos (fuente TINSA). El YoY de la serie MIVAU usada en el forecasting es +5,8% en 4T2025. Son fuentes distintas que miden conceptos distintos — no mezclar al hablar del forecast.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6"/>
              <w:bottom w:val="single" w:color="CCCCCC" w:sz="1"/>
              <w:right w:val="single" w:color="CCCCCC" w:sz="1"/>
            </w:tcBorders>
            <w:shd w:fill="EBF3FB" w:val="clear"/>
            <w:tcMar>
              <w:top w:type="dxa" w:w="80"/>
              <w:left w:type="dxa" w:w="160"/>
              <w:bottom w:type="dxa" w:w="80"/>
              <w:right w:type="dxa" w:w="120"/>
            </w:tcMar>
          </w:tcPr>
          <w:p>
            <w:pPr>
              <w:spacing w:before="0" w:after="0"/>
            </w:pPr>
            <w:r>
              <w:rPr>
                <w:rFonts w:ascii="Arial" w:cs="Arial" w:eastAsia="Arial" w:hAnsi="Arial"/>
                <w:i/>
                <w:iCs/>
                <w:color w:val="1F3864"/>
                <w:sz w:val="20"/>
                <w:szCs w:val="20"/>
              </w:rPr>
              <w:t xml:space="preserve">💡 La 'caída' que parece haber de 2026Q4 (2.891) a 2027Q1 (2.805) no implica necesariamente un cambio de tendencia anual. Es compatible con el componente estacional trimestral capturado por el modelo: históricamente el 4T tiende a ser el trimestre más alto del año y el 1T siguiente corrige. La tendencia anual sigue siendo alcista.</w:t>
            </w:r>
          </w:p>
        </w:tc>
      </w:tr>
    </w:tbl>
    <w:p>
      <w:pPr>
        <w:spacing w:before="0" w:after="120"/>
      </w:pPr>
    </w:p>
    <w:p>
      <w:pPr>
        <w:pStyle w:val="Heading1"/>
        <w:spacing w:before="360" w:after="120"/>
      </w:pPr>
      <w:r>
        <w:rPr>
          <w:rFonts w:ascii="Arial" w:cs="Arial" w:eastAsia="Arial" w:hAnsi="Arial"/>
          <w:b/>
          <w:bCs/>
          <w:color w:val="1F3864"/>
          <w:sz w:val="32"/>
          <w:szCs w:val="32"/>
        </w:rPr>
        <w:t xml:space="preserve">7. El dashboard: cómo lo presentamos todo</w:t>
      </w:r>
    </w:p>
    <w:p>
      <w:pPr>
        <w:spacing w:before="60" w:after="100"/>
      </w:pPr>
      <w:r>
        <w:rPr>
          <w:rFonts w:ascii="Arial" w:cs="Arial" w:eastAsia="Arial" w:hAnsi="Arial"/>
          <w:sz w:val="22"/>
          <w:szCs w:val="22"/>
        </w:rPr>
        <w:t xml:space="preserve">Generamos un único fichero HTML (resultados/dashboard_insur.html) que contiene todo el análisis de forma visual e interactiva. Está pensado para que alguien que no sabe de datos pueda entenderlo. Tiene cuatro bloques:</w:t>
      </w:r>
    </w:p>
    <w:p>
      <w:pPr>
        <w:spacing w:before="0" w:after="120"/>
      </w:pPr>
    </w:p>
    <w:p>
      <w:pPr>
        <w:pStyle w:val="ListParagraph"/>
        <w:numPr>
          <w:ilvl w:val="0"/>
          <w:numId w:val="2"/>
        </w:numPr>
        <w:spacing w:before="40" w:after="40"/>
      </w:pPr>
      <w:r>
        <w:rPr>
          <w:rFonts w:ascii="Arial" w:cs="Arial" w:eastAsia="Arial" w:hAnsi="Arial"/>
          <w:sz w:val="22"/>
          <w:szCs w:val="22"/>
        </w:rPr>
        <w:t xml:space="preserve">Resumen ejecutivo: 4 KPIs clave + conclusión principal en una sola frase.</w:t>
      </w:r>
    </w:p>
    <w:p>
      <w:pPr>
        <w:pStyle w:val="ListParagraph"/>
        <w:numPr>
          <w:ilvl w:val="0"/>
          <w:numId w:val="2"/>
        </w:numPr>
        <w:spacing w:before="40" w:after="40"/>
      </w:pPr>
      <w:r>
        <w:rPr>
          <w:rFonts w:ascii="Arial" w:cs="Arial" w:eastAsia="Arial" w:hAnsi="Arial"/>
          <w:sz w:val="22"/>
          <w:szCs w:val="22"/>
        </w:rPr>
        <w:t xml:space="preserve">Segmentación de distritos: gráfico interactivo con los 4 clusters. Al pasar el ratón sobre cada burbuja se ven los datos del distrito.</w:t>
      </w:r>
    </w:p>
    <w:p>
      <w:pPr>
        <w:pStyle w:val="ListParagraph"/>
        <w:numPr>
          <w:ilvl w:val="0"/>
          <w:numId w:val="2"/>
        </w:numPr>
        <w:spacing w:before="40" w:after="40"/>
      </w:pPr>
      <w:r>
        <w:rPr>
          <w:rFonts w:ascii="Arial" w:cs="Arial" w:eastAsia="Arial" w:hAnsi="Arial"/>
          <w:sz w:val="22"/>
          <w:szCs w:val="22"/>
        </w:rPr>
        <w:t xml:space="preserve">Forecast de precios: gráfico con la serie histórica y las predicciones de ambos modelos, con banda de incertidumbre (IC 80%).</w:t>
      </w:r>
    </w:p>
    <w:p>
      <w:pPr>
        <w:pStyle w:val="ListParagraph"/>
        <w:numPr>
          <w:ilvl w:val="0"/>
          <w:numId w:val="2"/>
        </w:numPr>
        <w:spacing w:before="40" w:after="40"/>
      </w:pPr>
      <w:r>
        <w:rPr>
          <w:rFonts w:ascii="Arial" w:cs="Arial" w:eastAsia="Arial" w:hAnsi="Arial"/>
          <w:sz w:val="22"/>
          <w:szCs w:val="22"/>
        </w:rPr>
        <w:t xml:space="preserve">Tabla de distritos: los 11 distritos ordenados por precio con sus métricas clave.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6"/>
              <w:bottom w:val="single" w:color="CCCCCC" w:sz="1"/>
              <w:right w:val="single" w:color="CCCCCC" w:sz="1"/>
            </w:tcBorders>
            <w:shd w:fill="EBF3FB" w:val="clear"/>
            <w:tcMar>
              <w:top w:type="dxa" w:w="80"/>
              <w:left w:type="dxa" w:w="160"/>
              <w:bottom w:type="dxa" w:w="80"/>
              <w:right w:type="dxa" w:w="120"/>
            </w:tcMar>
          </w:tcPr>
          <w:p>
            <w:pPr>
              <w:spacing w:before="0" w:after="0"/>
            </w:pPr>
            <w:r>
              <w:rPr>
                <w:rFonts w:ascii="Arial" w:cs="Arial" w:eastAsia="Arial" w:hAnsi="Arial"/>
                <w:i/>
                <w:iCs/>
                <w:color w:val="1F3864"/>
                <w:sz w:val="20"/>
                <w:szCs w:val="20"/>
              </w:rPr>
              <w:t xml:space="preserve">💡 El dashboard se genera con el script 06_build_dashboard.py, que lee los CSVs de resultados y construye el HTML automáticamente. No es un fichero editado a mano: es reproducible. Cada vez que se ejecuta, refleja los datos más recientes.</w:t>
            </w:r>
          </w:p>
        </w:tc>
      </w:tr>
    </w:tbl>
    <w:p>
      <w:pPr>
        <w:spacing w:before="0" w:after="120"/>
      </w:pPr>
    </w:p>
    <w:p>
      <w:pPr>
        <w:pStyle w:val="Heading1"/>
        <w:spacing w:before="360" w:after="120"/>
      </w:pPr>
      <w:r>
        <w:rPr>
          <w:rFonts w:ascii="Arial" w:cs="Arial" w:eastAsia="Arial" w:hAnsi="Arial"/>
          <w:b/>
          <w:bCs/>
          <w:color w:val="1F3864"/>
          <w:sz w:val="32"/>
          <w:szCs w:val="32"/>
        </w:rPr>
        <w:t xml:space="preserve">8. Los scripts: qué hace cada uno</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Qué hace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Entrada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Salida</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01_ingest_mivau_xls.py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Lee el XLS del Ministerio y extrae la serie de Sevilla limpia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35103500.XLS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mivau_sevilla_series.csv</w:t>
            </w:r>
          </w:p>
        </w:tc>
      </w:tr>
      <w:tr>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02_extract_tinsa_pdfs.py</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Extrae el texto de los 4 PDFs TINSA</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PDFs en data/raw/</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Ficheros _full.txt y _sevilla.txt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03_extract_tinsa_genai.py (Paso 3A)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Manda el texto a Claude API y recibe JSONs estructurados con los datos por distrito. Genera también el panel consolidado de distritos (validado manualmente: 11/11 coincidencias en 4T2025)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Ficheros _sevilla.txt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JSONs + tinsa_distritos_panel.csv</w:t>
            </w:r>
          </w:p>
        </w:tc>
      </w:tr>
      <w:tr>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03_build_district_features.py (Paso 3B)</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Construye las 13 features por distrito para el clustering. Hay dos scripts con el prefijo 03 porque corresponden a dos subfases consecutivas del mismo paso de datos.</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tinsa_distritos_panel.csv</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dataset_distritos_features.csv</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04_clustering.py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Ejecuta K-Means, selecciona k=4, valida con stability check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dataset_distritos_features.csv</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distritos_clusters.csv + figuras</w:t>
            </w:r>
          </w:p>
        </w:tc>
      </w:tr>
      <w:tr>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05_forecasting.py</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Entrena SARIMA y Prophet, evalúa en test, genera forecast 6T</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mivau_sevilla_series.csv</w:t>
            </w:r>
          </w:p>
        </w:tc>
        <w:tc>
          <w:tcPr>
            <w:tcW w:type="dxa" w:w="2340"/>
            <w:tcBorders>
              <w:top w:val="single" w:color="CCCCCC" w:sz="1"/>
              <w:left w:val="single" w:color="CCCCCC" w:sz="1"/>
              <w:bottom w:val="single" w:color="CCCCCC" w:sz="1"/>
              <w:right w:val="single" w:color="CCCCCC" w:sz="1"/>
            </w:tcBorders>
            <w:shd w:fill="F2F4F7" w:val="clear"/>
            <w:tcMar>
              <w:top w:type="dxa" w:w="60"/>
              <w:left w:type="dxa" w:w="120"/>
              <w:bottom w:type="dxa" w:w="60"/>
              <w:right w:type="dxa" w:w="120"/>
            </w:tcMar>
          </w:tcPr>
          <w:p>
            <w:r>
              <w:rPr>
                <w:rFonts w:ascii="Arial" w:cs="Arial" w:eastAsia="Arial" w:hAnsi="Arial"/>
                <w:sz w:val="20"/>
                <w:szCs w:val="20"/>
              </w:rPr>
              <w:t xml:space="preserve">forecast_valores.csv + gráfico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06_build_dashboard.py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Lee todos los CSVs y genera el HTML final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CSVs de resultados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dashboard_insur.html</w:t>
            </w:r>
          </w:p>
        </w:tc>
      </w:tr>
    </w:tbl>
    <w:p>
      <w:pPr>
        <w:spacing w:before="0" w:after="120"/>
      </w:pPr>
    </w:p>
    <w:p>
      <w:pPr>
        <w:pStyle w:val="Heading1"/>
        <w:spacing w:before="360" w:after="120"/>
      </w:pPr>
      <w:r>
        <w:rPr>
          <w:rFonts w:ascii="Arial" w:cs="Arial" w:eastAsia="Arial" w:hAnsi="Arial"/>
          <w:b/>
          <w:bCs/>
          <w:color w:val="1F3864"/>
          <w:sz w:val="32"/>
          <w:szCs w:val="32"/>
        </w:rPr>
        <w:t xml:space="preserve">9. Posibles preguntas de Joaquín y cómo responderlas</w:t>
      </w:r>
    </w:p>
    <w:p>
      <w:pPr>
        <w:spacing w:before="0" w:after="120"/>
      </w:pPr>
    </w:p>
    <w:p>
      <w:pPr>
        <w:spacing w:before="180" w:after="60"/>
      </w:pPr>
      <w:r>
        <w:rPr>
          <w:rFonts w:ascii="Arial" w:cs="Arial" w:eastAsia="Arial" w:hAnsi="Arial"/>
          <w:b/>
          <w:bCs/>
          <w:color w:val="333333"/>
          <w:sz w:val="24"/>
          <w:szCs w:val="24"/>
        </w:rPr>
        <w:t xml:space="preserve">¿Por qué K-Means y no otro algoritmo de clustering?</w:t>
      </w:r>
    </w:p>
    <w:p>
      <w:pPr>
        <w:spacing w:before="60" w:after="100"/>
      </w:pPr>
      <w:r>
        <w:rPr>
          <w:rFonts w:ascii="Arial" w:cs="Arial" w:eastAsia="Arial" w:hAnsi="Arial"/>
          <w:sz w:val="22"/>
          <w:szCs w:val="22"/>
        </w:rPr>
        <w:t xml:space="preserve">K-Means es interpretable, rápido y funciona bien con n pequeño cuando las features están bien escaladas. Escalar significa poner todas las variables en una escala comparable antes de agrupar, para que ninguna domine al resto solo por tener números más grandes (por ejemplo, el precio en €/m² tiene valores de 2.000–3.500, mientras que el YoY va de 3 a 17 — sin escalar, el precio dominaría todo el cálculo). Con solo 11 distritos, algoritmos más complejos como DBSCAN o clustering jerárquico no aportan ventaja real y añaden complejidad innecesaria.</w:t>
      </w:r>
    </w:p>
    <w:p>
      <w:pPr>
        <w:spacing w:before="0" w:after="120"/>
      </w:pPr>
    </w:p>
    <w:p>
      <w:pPr>
        <w:spacing w:before="180" w:after="60"/>
      </w:pPr>
      <w:r>
        <w:rPr>
          <w:rFonts w:ascii="Arial" w:cs="Arial" w:eastAsia="Arial" w:hAnsi="Arial"/>
          <w:b/>
          <w:bCs/>
          <w:color w:val="333333"/>
          <w:sz w:val="24"/>
          <w:szCs w:val="24"/>
        </w:rPr>
        <w:t xml:space="preserve">¿Por qué solo 4 trimestres de datos TINSA para el clustering?</w:t>
      </w:r>
    </w:p>
    <w:p>
      <w:pPr>
        <w:spacing w:before="60" w:after="100"/>
      </w:pPr>
      <w:r>
        <w:rPr>
          <w:rFonts w:ascii="Arial" w:cs="Arial" w:eastAsia="Arial" w:hAnsi="Arial"/>
          <w:sz w:val="22"/>
          <w:szCs w:val="22"/>
        </w:rPr>
        <w:t xml:space="preserve">Para esta prueba se descargaron los 4 informes trimestrales de 2025. TINSA publica estos informes desde hace años, por lo que existe histórico anterior disponible. Con más trimestres por distrito se podrían construir features temporales más ricas y modelos más robustos. El pipeline está diseñado para incorporar nuevos PDFs fácilmente: basta añadirlos a data/raw/pdf_tinsa/ y reejecutar los scripts en orden.</w:t>
      </w:r>
    </w:p>
    <w:p>
      <w:pPr>
        <w:spacing w:before="0" w:after="120"/>
      </w:pPr>
    </w:p>
    <w:p>
      <w:pPr>
        <w:spacing w:before="180" w:after="60"/>
      </w:pPr>
      <w:r>
        <w:rPr>
          <w:rFonts w:ascii="Arial" w:cs="Arial" w:eastAsia="Arial" w:hAnsi="Arial"/>
          <w:b/>
          <w:bCs/>
          <w:color w:val="333333"/>
          <w:sz w:val="24"/>
          <w:szCs w:val="24"/>
        </w:rPr>
        <w:t xml:space="preserve">¿Por qué SARIMA y no un modelo de deep learning?</w:t>
      </w:r>
    </w:p>
    <w:p>
      <w:pPr>
        <w:spacing w:before="60" w:after="100"/>
      </w:pPr>
      <w:r>
        <w:rPr>
          <w:rFonts w:ascii="Arial" w:cs="Arial" w:eastAsia="Arial" w:hAnsi="Arial"/>
          <w:sz w:val="22"/>
          <w:szCs w:val="22"/>
        </w:rPr>
        <w:t xml:space="preserve">Con 84 observaciones (84 trimestres) un modelo de deep learning no tiene sentido: necesita mucho más dato para aprender patrones. SARIMA está diseñado exactamente para este tipo de series cortas con tendencia y estacionalidad. Rinde mejor que Prophet en validación (MAPE 3,04% vs 19,54%). El criterio es el resultado, no la moda.</w:t>
      </w:r>
    </w:p>
    <w:p>
      <w:pPr>
        <w:spacing w:before="0" w:after="120"/>
      </w:pPr>
    </w:p>
    <w:p>
      <w:pPr>
        <w:spacing w:before="180" w:after="60"/>
      </w:pPr>
      <w:r>
        <w:rPr>
          <w:rFonts w:ascii="Arial" w:cs="Arial" w:eastAsia="Arial" w:hAnsi="Arial"/>
          <w:b/>
          <w:bCs/>
          <w:color w:val="333333"/>
          <w:sz w:val="24"/>
          <w:szCs w:val="24"/>
        </w:rPr>
        <w:t xml:space="preserve">¿El cluster de San Pablo-Santa Justa no es un error del modelo?</w:t>
      </w:r>
    </w:p>
    <w:p>
      <w:pPr>
        <w:spacing w:before="60" w:after="100"/>
      </w:pPr>
      <w:r>
        <w:rPr>
          <w:rFonts w:ascii="Arial" w:cs="Arial" w:eastAsia="Arial" w:hAnsi="Arial"/>
          <w:sz w:val="22"/>
          <w:szCs w:val="22"/>
        </w:rPr>
        <w:t xml:space="preserve">No. Lo verificamos con 20 ejecuciones de K-Means con semillas distintas: en ningún caso San Pablo-Santa Justa se agrupó con otro distrito. Su combinación de precio medio, aceleración máxima (+14 pp) y perfil histórico diferenciado es única en el conjunto. Es un perfil genuinamente diferenciado, no un artefacto.</w:t>
      </w:r>
    </w:p>
    <w:p>
      <w:pPr>
        <w:spacing w:before="0" w:after="120"/>
      </w:pPr>
    </w:p>
    <w:p>
      <w:pPr>
        <w:spacing w:before="180" w:after="60"/>
      </w:pPr>
      <w:r>
        <w:rPr>
          <w:rFonts w:ascii="Arial" w:cs="Arial" w:eastAsia="Arial" w:hAnsi="Arial"/>
          <w:b/>
          <w:bCs/>
          <w:color w:val="333333"/>
          <w:sz w:val="24"/>
          <w:szCs w:val="24"/>
        </w:rPr>
        <w:t xml:space="preserve">¿Cómo garantizáis que la IA no se inventó datos?</w:t>
      </w:r>
    </w:p>
    <w:p>
      <w:pPr>
        <w:spacing w:before="60" w:after="100"/>
      </w:pPr>
      <w:r>
        <w:rPr>
          <w:rFonts w:ascii="Arial" w:cs="Arial" w:eastAsia="Arial" w:hAnsi="Arial"/>
          <w:sz w:val="22"/>
          <w:szCs w:val="22"/>
        </w:rPr>
        <w:t xml:space="preserve">El prompt incluye instrucciones explícitas anti-alucinación ('extrae solo lo que aparezca; null si no existe'). Además, validamos la extracción del informe 4T2025 manualmente: 11/11 coincidencias exactas con la tabla original del PDF. Las respuestas raw de la API están guardadas en el repositorio para cualquier auditoría.</w:t>
      </w:r>
    </w:p>
    <w:p>
      <w:pPr>
        <w:spacing w:before="0" w:after="120"/>
      </w:pPr>
    </w:p>
    <w:p>
      <w:pPr>
        <w:spacing w:before="180" w:after="60"/>
      </w:pPr>
      <w:r>
        <w:rPr>
          <w:rFonts w:ascii="Arial" w:cs="Arial" w:eastAsia="Arial" w:hAnsi="Arial"/>
          <w:b/>
          <w:bCs/>
          <w:color w:val="333333"/>
          <w:sz w:val="24"/>
          <w:szCs w:val="24"/>
        </w:rPr>
        <w:t xml:space="preserve">¿Por qué IC 80% en el forecast y no 95%?</w:t>
      </w:r>
    </w:p>
    <w:p>
      <w:pPr>
        <w:spacing w:before="60" w:after="100"/>
      </w:pPr>
      <w:r>
        <w:rPr>
          <w:rFonts w:ascii="Arial" w:cs="Arial" w:eastAsia="Arial" w:hAnsi="Arial"/>
          <w:sz w:val="22"/>
          <w:szCs w:val="22"/>
        </w:rPr>
        <w:t xml:space="preserve">Con IC 95% la banda de incertidumbre sale mucho más ancha y visualmente aporta menos. El IC 80% permite mostrar mejor el rango central esperado del modelo. Es una decisión de comunicación, no de rigor estadístico.</w:t>
      </w:r>
    </w:p>
    <w:p>
      <w:pPr>
        <w:spacing w:before="0" w:after="120"/>
      </w:pPr>
    </w:p>
    <w:p>
      <w:pPr>
        <w:pStyle w:val="Heading1"/>
        <w:spacing w:before="360" w:after="120"/>
      </w:pPr>
      <w:r>
        <w:rPr>
          <w:rFonts w:ascii="Arial" w:cs="Arial" w:eastAsia="Arial" w:hAnsi="Arial"/>
          <w:b/>
          <w:bCs/>
          <w:color w:val="1F3864"/>
          <w:sz w:val="32"/>
          <w:szCs w:val="32"/>
        </w:rPr>
        <w:t xml:space="preserve">10. Referencia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6"/>
              <w:bottom w:val="single" w:color="CCCCCC" w:sz="1"/>
              <w:right w:val="single" w:color="CCCCCC" w:sz="1"/>
            </w:tcBorders>
            <w:shd w:fill="EBF3FB" w:val="clear"/>
            <w:tcMar>
              <w:top w:type="dxa" w:w="80"/>
              <w:left w:type="dxa" w:w="160"/>
              <w:bottom w:type="dxa" w:w="80"/>
              <w:right w:type="dxa" w:w="120"/>
            </w:tcMar>
          </w:tcPr>
          <w:p>
            <w:pPr>
              <w:spacing w:before="0" w:after="0"/>
            </w:pPr>
            <w:r>
              <w:rPr>
                <w:rFonts w:ascii="Arial" w:cs="Arial" w:eastAsia="Arial" w:hAnsi="Arial"/>
                <w:i/>
                <w:iCs/>
                <w:color w:val="1F3864"/>
                <w:sz w:val="20"/>
                <w:szCs w:val="20"/>
              </w:rPr>
              <w:t xml:space="preserve">💡 Qué decir si te preguntan por el proyecto en 30 segundos:
"Usamos TINSA para comparar distritos entre sí, MIVAU para proyectar el precio de la ciudad, Claude API para estructurar PDFs, K-Means para agrupar zonas y SARIMA para prever precios."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6"/>
              <w:bottom w:val="single" w:color="CCCCCC" w:sz="1"/>
              <w:right w:val="single" w:color="CCCCCC" w:sz="1"/>
            </w:tcBorders>
            <w:shd w:fill="EBF3FB" w:val="clear"/>
            <w:tcMar>
              <w:top w:type="dxa" w:w="80"/>
              <w:left w:type="dxa" w:w="160"/>
              <w:bottom w:type="dxa" w:w="80"/>
              <w:right w:type="dxa" w:w="120"/>
            </w:tcMar>
          </w:tcPr>
          <w:p>
            <w:pPr>
              <w:spacing w:before="0" w:after="0"/>
            </w:pPr>
            <w:r>
              <w:rPr>
                <w:rFonts w:ascii="Arial" w:cs="Arial" w:eastAsia="Arial" w:hAnsi="Arial"/>
                <w:i/>
                <w:iCs/>
                <w:color w:val="1F3864"/>
                <w:sz w:val="20"/>
                <w:szCs w:val="20"/>
              </w:rPr>
              <w:t xml:space="preserve">💡 Qué no mezclar nunca:
— No confundir precios de TINSA con precios de MIVAU (miden cosas distintas).
— No usar el resultado de Prophet como conclusión principal (fue el modelo que peor rindió en validación).
— No decir que TINSA 'no tenía datos anteriores a 2025': los hay, simplemente no se descargaron para esta prueba.</w:t>
            </w:r>
          </w:p>
        </w:tc>
      </w:tr>
    </w:tbl>
    <w:p>
      <w:pPr>
        <w:spacing w:before="0" w:after="120"/>
      </w:pPr>
    </w:p>
    <w:p>
      <w:pPr>
        <w:pStyle w:val="Heading1"/>
        <w:spacing w:before="360" w:after="120"/>
      </w:pPr>
      <w:r>
        <w:rPr>
          <w:rFonts w:ascii="Arial" w:cs="Arial" w:eastAsia="Arial" w:hAnsi="Arial"/>
          <w:b/>
          <w:bCs/>
          <w:color w:val="1F3864"/>
          <w:sz w:val="32"/>
          <w:szCs w:val="32"/>
        </w:rPr>
        <w:t xml:space="preserve">11. Conclusiones del análisis</w:t>
      </w:r>
    </w:p>
    <w:p>
      <w:pPr>
        <w:spacing w:before="60" w:after="100"/>
      </w:pPr>
      <w:r>
        <w:rPr>
          <w:rFonts w:ascii="Arial" w:cs="Arial" w:eastAsia="Arial" w:hAnsi="Arial"/>
          <w:sz w:val="22"/>
          <w:szCs w:val="22"/>
        </w:rPr>
        <w:t xml:space="preserve">Estas son las 4 conclusiones principales que puedes defender con datos:</w:t>
      </w:r>
    </w:p>
    <w:p>
      <w:pPr>
        <w:spacing w:before="0" w:after="120"/>
      </w:pPr>
    </w:p>
    <w:p>
      <w:pPr>
        <w:pStyle w:val="ListParagraph"/>
        <w:numPr>
          <w:ilvl w:val="0"/>
          <w:numId w:val="2"/>
        </w:numPr>
        <w:spacing w:before="40" w:after="40"/>
      </w:pPr>
      <w:r>
        <w:rPr>
          <w:rFonts w:ascii="Arial" w:cs="Arial" w:eastAsia="Arial" w:hAnsi="Arial"/>
          <w:b/>
          <w:bCs/>
          <w:sz w:val="22"/>
          <w:szCs w:val="22"/>
        </w:rPr>
        <w:t xml:space="preserve">1. </w:t>
      </w:r>
      <w:r>
        <w:rPr>
          <w:rFonts w:ascii="Arial" w:cs="Arial" w:eastAsia="Arial" w:hAnsi="Arial"/>
          <w:sz w:val="22"/>
          <w:szCs w:val="22"/>
        </w:rPr>
        <w:t xml:space="preserve">Sevilla está en ciclo alcista intenso pero normalizándose. El precio MIVAU llegó a 2.805 €/m² en 4T2025 (+5,8% YoY). TINSA muestra señales más intensas de crecimiento en 2025: +12,4% para la ciudad y aceleraciones elevadas en varios distritos. SARIMA proyecta una desaceleración hacia +2-3% anual en 2026-2027.</w:t>
      </w:r>
    </w:p>
    <w:p>
      <w:pPr>
        <w:pStyle w:val="ListParagraph"/>
        <w:numPr>
          <w:ilvl w:val="0"/>
          <w:numId w:val="2"/>
        </w:numPr>
        <w:spacing w:before="40" w:after="40"/>
      </w:pPr>
      <w:r>
        <w:rPr>
          <w:rFonts w:ascii="Arial" w:cs="Arial" w:eastAsia="Arial" w:hAnsi="Arial"/>
          <w:b/>
          <w:bCs/>
          <w:sz w:val="22"/>
          <w:szCs w:val="22"/>
        </w:rPr>
        <w:t xml:space="preserve">2. </w:t>
      </w:r>
      <w:r>
        <w:rPr>
          <w:rFonts w:ascii="Arial" w:cs="Arial" w:eastAsia="Arial" w:hAnsi="Arial"/>
          <w:sz w:val="22"/>
          <w:szCs w:val="22"/>
        </w:rPr>
        <w:t xml:space="preserve">El mercado está claramente segmentado. No todos los distritos se comportan igual: hay una diferencia de 2,6x entre el distrito más caro y el más barato. Los perfiles van desde premium maduro hasta emergente acelerado.</w:t>
      </w:r>
    </w:p>
    <w:p>
      <w:pPr>
        <w:pStyle w:val="ListParagraph"/>
        <w:numPr>
          <w:ilvl w:val="0"/>
          <w:numId w:val="2"/>
        </w:numPr>
        <w:spacing w:before="40" w:after="40"/>
      </w:pPr>
      <w:r>
        <w:rPr>
          <w:rFonts w:ascii="Arial" w:cs="Arial" w:eastAsia="Arial" w:hAnsi="Arial"/>
          <w:b/>
          <w:bCs/>
          <w:sz w:val="22"/>
          <w:szCs w:val="22"/>
        </w:rPr>
        <w:t xml:space="preserve">3. </w:t>
      </w:r>
      <w:r>
        <w:rPr>
          <w:rFonts w:ascii="Arial" w:cs="Arial" w:eastAsia="Arial" w:hAnsi="Arial"/>
          <w:sz w:val="22"/>
          <w:szCs w:val="22"/>
        </w:rPr>
        <w:t xml:space="preserve">Los Remedios es la anomalía más interesante. Precio alto (3.054 €/m²) pero enfriándose. Señal de saturación en un mercado premium que hasta ahora tiraba fuerte.</w:t>
      </w:r>
    </w:p>
    <w:p>
      <w:pPr>
        <w:pStyle w:val="ListParagraph"/>
        <w:numPr>
          <w:ilvl w:val="0"/>
          <w:numId w:val="2"/>
        </w:numPr>
        <w:spacing w:before="40" w:after="40"/>
      </w:pPr>
      <w:r>
        <w:rPr>
          <w:rFonts w:ascii="Arial" w:cs="Arial" w:eastAsia="Arial" w:hAnsi="Arial"/>
          <w:b/>
          <w:bCs/>
          <w:sz w:val="22"/>
          <w:szCs w:val="22"/>
        </w:rPr>
        <w:t xml:space="preserve">4. </w:t>
      </w:r>
      <w:r>
        <w:rPr>
          <w:rFonts w:ascii="Arial" w:cs="Arial" w:eastAsia="Arial" w:hAnsi="Arial"/>
          <w:sz w:val="22"/>
          <w:szCs w:val="22"/>
        </w:rPr>
        <w:t xml:space="preserve">San Pablo-Santa Justa es el distrito con la señal más fuerte de aceleración en 2025. Mayor aceleración de todo Sevilla (+14 pp interanual). Si ese patrón se mantuviera, podría tener recorrido de revalorización a corto plazo.</w:t>
      </w:r>
    </w:p>
    <w:p>
      <w:pPr>
        <w:spacing w:before="0" w:after="120"/>
      </w:pPr>
    </w:p>
    <w:p>
      <w:r>
        <w:br w:type="page"/>
      </w:r>
    </w:p>
    <w:p>
      <w:pPr>
        <w:spacing w:before="400" w:after="100"/>
        <w:jc w:val="center"/>
      </w:pPr>
      <w:r>
        <w:rPr>
          <w:rFonts w:ascii="Arial" w:cs="Arial" w:eastAsia="Arial" w:hAnsi="Arial"/>
          <w:color w:val="999999"/>
          <w:sz w:val="18"/>
          <w:szCs w:val="18"/>
        </w:rPr>
        <w:t xml:space="preserve">Pablo Beret · Senior Data Scientist · Marzo 2026</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Guía de referencia · Grupo Insur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2026-03-06T20:31:05.277Z</dcterms:created>
  <dcterms:modified xsi:type="dcterms:W3CDTF">2026-03-06T20:31:05.277Z</dcterms:modified>
</cp:coreProperties>
</file>

<file path=docProps/custom.xml><?xml version="1.0" encoding="utf-8"?>
<Properties xmlns="http://schemas.openxmlformats.org/officeDocument/2006/custom-properties" xmlns:vt="http://schemas.openxmlformats.org/officeDocument/2006/docPropsVTypes"/>
</file>