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i w:val="false"/>
          <w:iCs w:val="false"/>
          <w:color w:val="1A2F4A"/>
          <w:sz w:val="56"/>
          <w:szCs w:val="56"/>
        </w:rPr>
        <w:t xml:space="preserve">Fünf Jahre Widerstand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C8A"/>
          <w:sz w:val="28"/>
          <w:szCs w:val="28"/>
        </w:rPr>
        <w:t xml:space="preserve">Ein anonymisierter Erfahrungsbericht aus Bayern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Für rundfunkkritik.de  ·  Stand Mai 2026  ·  Zur freien Verwendung</w:t>
      </w:r>
    </w:p>
    <w:p>
      <w:pPr>
        <w:pBdr>
          <w:bottom w:val="single" w:color="2E5C8A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C8A"/>
                <w:sz w:val="20"/>
                <w:szCs w:val="20"/>
              </w:rPr>
              <w:t xml:space="preserve">Warum dieser Bericht wichtig ist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Dieser Fall ist kein Einzelfall. Er zeigt, wie Beitragsverfahren in der Praxis ablaufen —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von der ersten Zahlungsverweigerung bis zur laufenden Vollstreckung, von der Stille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der Behörden bis zur wirksamen Gegenstrategie. Alle personenbezogenen Daten wurden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anonymisiert. Der Betroffene hat das Verfahren ohne Anwalt und ohne digitale Hilfe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 der ersten Phase durchgefochten. Seine Erfahrungen sind dokumentiert.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2F4A"/>
          <w:sz w:val="38"/>
          <w:szCs w:val="38"/>
        </w:rPr>
        <w:t xml:space="preserve">2021 — Der Beginn: Widerspruch ohne Anwalt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 Sommer 2021 widerrief ein Bürger aus Südbayern sein SEPA-Lastschriftmandat. Es folgte eine Rücklastschrift, dann ein Festsetzungsbescheid des Beitragsservice. Der Betroffene legte fristgerecht Widerspruch ein — handgeschrieben, ohne juristische Unterstützung, mit dem Argument strukturell unausgewogener Berichterstattung.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Dann: Stille. Vier Jahre lang.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3"/>
                <w:szCs w:val="23"/>
              </w:rPr>
              <w:t xml:space="preserve">'Der Widerspruch war handgeschrieben, ohne Vorlage, ohne Anwalt. Einfach präzise beschrieben, was nicht stimmt."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Aus dem anonymisierten Bericht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6"/>
          <w:szCs w:val="26"/>
        </w:rPr>
        <w:t xml:space="preserve">Was man daraus lernen kann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Widerspruch immer per Einschreiben mit Rückschein — das ist der Zustellungsnachweis.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Programmkritik allein trägt nicht — sie ist kein anerkannter Befreiungsgrund.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Schweigen der Behörde ist keine Zustimmung — aber es kann Verwirkungsargumente eröffnen.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2F4A"/>
          <w:sz w:val="38"/>
          <w:szCs w:val="38"/>
        </w:rPr>
        <w:t xml:space="preserve">2021–2025 — Die Funkstille und was sie bedeutet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Von 2021 bis Anfang 2025 kam kein einziges Schreiben. Ende 2023 zog der Betroffene um. Die neue Adresse wurde automatisch beim Zuzug an den Beitragsservice übermittelt — das belegte später eine DSGVO-Auskunft nach Art. 15 DSGVO eindeutig.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Trotz bekannter Adresse: weitere 21 Monate Schweigen.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C8A"/>
                <w:sz w:val="20"/>
                <w:szCs w:val="20"/>
              </w:rPr>
              <w:t xml:space="preserve">Rechtlicher Hinweis: Verwirkung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Wer einen Anspruch über Jahre nicht geltend macht, obwohl er es hätte tun können,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riskiert die Verwirkung. Das ist kein Freifahrtschein — aber ein prozessual relevantes Argument,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das gezielt in eine Klage eingebracht werden kann.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6"/>
          <w:szCs w:val="26"/>
        </w:rPr>
        <w:t xml:space="preserve">Der DSGVO-Winkel: Was die Auskunft offenbarte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Auskunft nach Art. 15 DSGVO brachte einen bemerkenswerten Widerspruch ans Licht: In der allgemeinen Datenschutzerklärung des Beitragsservice wurden Kategorien wie Telefongesprächsnotizen, archivierten Schriftwechsel und Mahnhistorie als verarbeitet aufgeführt. Die tatsächliche Auskunft enthielt keine einzige dieser Kategorien.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Zusätzlich: Die Gemeinde bestätigte schriftlich, dass keine automatisierten Abrufverfahren stattfanden. Seit Juni 2025 besteht sogar eine unbefristete Übermittlungssperre. Der Beitragsservice bezeichnete die Adressherkunft dennoch als 'anlassbezogen' — ein Widerspruch, den die Datenschutzbehörde nun prüft.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3"/>
                <w:szCs w:val="23"/>
              </w:rPr>
              <w:t xml:space="preserve">'Die Gemeinde sagte: keine automatisierten Abrufe. Der Beitragsservice sagte: anlassbezogen. Beides kann nicht gleichzeitig stimmen."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Aus dem anonymisierten Bericht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2F4A"/>
          <w:sz w:val="38"/>
          <w:szCs w:val="38"/>
        </w:rPr>
        <w:t xml:space="preserve">Februar 2025 — Der Widerspruchsbescheid kommt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Dreieinhalb Jahre nach dem Widerspruch: Zustellung des Widerspruchsbescheids. Zurückweisung mit der Begründung, Programmkritik sei kein zulässiger Grund, die Beitragspflicht zu verweigern. Frist: ein Monat für Klage beim Verwaltungsgericht.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Betroffene erhob Klage — diesmal strukturiert, ohne Massenvorlage, mit drei konkreten Argumenten: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Verjährung der ältesten Forderungen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fehlende Beitragspflicht nach Umzug (Bruder zahlt bereits für dieselbe Wohnung)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fehlender Zustellungsnachweis für die zugrundeliegenden Bescheide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C8A"/>
                <w:sz w:val="20"/>
                <w:szCs w:val="20"/>
              </w:rPr>
              <w:t xml:space="preserve">Tipp: Kompakte Klage statt 200-Seiten-Block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Gerichte lesen keine überladenen Schriftsätze. Eine präzise, auf 3–5 konkrete Punkte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reduzierte Klage wird gelesen und verarbeitet. 200-seitige Musterklagen werden als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pauschal eingestuft — und entsprechend behandelt.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2F4A"/>
          <w:sz w:val="38"/>
          <w:szCs w:val="38"/>
        </w:rPr>
        <w:t xml:space="preserve">Herbst 2025 — Die Vollstreckungsmaschine läuft an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Noch während die Klage beim Verwaltungsgericht anhängig war, beauftragte der Beitragsservice die Gerichtsvollzieherin. Der Betroffene wurde zur Vermögensauskunft geladen. Er zahlte — aber ausschließlich unter ausdrücklichem Vorbehalt und Zwang, mit entsprechendem Vermerk auf jeder Überweisung.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Insgesamt flossen so über fünf Monate 510 Euro.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3"/>
                <w:szCs w:val="23"/>
              </w:rPr>
              <w:t xml:space="preserve">'Zahlung unter Vorbehalt und Zwang ist keine freiwillige Leistung. Sie ist kondiktionsfähig — rückforderbar, wenn die Forderung nicht bestätigt wird."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Rechtlicher Kontext § 812 BGB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6"/>
          <w:szCs w:val="26"/>
        </w:rPr>
        <w:t xml:space="preserve">Was Zahlungen unter Vorbehalt bedeuten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Jede Zahlung muss explizit als 'unter Vorbehalt und Zwang' bezeichnet werden.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Vorbehalt muss auf dem Überweisungsträger vermerkt sein.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Er muss bei jeder einzelnen Zahlung wiederholt werden — nicht nur einmalig.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Bei Obsiegen im Hauptverfahren: Rückforderungsklage nach § 812 BGB möglich.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2F4A"/>
          <w:sz w:val="38"/>
          <w:szCs w:val="38"/>
        </w:rPr>
        <w:t xml:space="preserve">Januar 2026 — Die Erinnerung nach § 766 ZPO wirkt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Betroffene stellte fest: Für die zugrundeliegenden Festsetzungsbescheide existiert kein ordnungsgemäßer Zustellungsnachweis. Kein Einschreiben-Rückschein, keine Zustellungsurkunde. Auch das Vollstreckungsersuchen selbst wies eine formunwirksame Signatur auf.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Er stellte eine Erinnerung nach § 766 ZPO. Im März 2026 kam die Antwort: Die Zwangsvollstreckung wurde vorläufig eingestellt.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C8A"/>
                <w:sz w:val="20"/>
                <w:szCs w:val="20"/>
              </w:rPr>
              <w:t xml:space="preserve">§ 766 ZPO — Das wirksamste kurzfristige Mittel bei laufender Vollstreckung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Kostet nichts. Braucht keinen Anwalt. Kann schnell wirken.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Voraussetzung: formelle Mängel des Vollstreckungsersuchens (fehlende Signatur,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fehlender Zustellungsnachweis, fehlende Verantwortlichkeitszurechnung).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BGH VII ZB 29/24 (Februar 2026) hat die Anforderungen deutlich geschärft.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6"/>
          <w:szCs w:val="26"/>
        </w:rPr>
        <w:t xml:space="preserve">Mai 2026 — Nächster Anlauf, nächste Reaktion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Beitragsservice reagierte mit einem neuen Vollstreckungsauftrag — ohne die festgestellten Mängel zu beheben. Der Betroffene legte erneut Erinnerung nach § 766 ZPO ein, stellte gleichzeitig einen Antrag auf aufschiebende Wirkung nach § 80 Abs. 5 VwGO und reichte eine DSGVO-Beschwerde beim Bayerischen Landesbeauftragten für Datenschutz ein.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2F4A"/>
          <w:sz w:val="38"/>
          <w:szCs w:val="38"/>
        </w:rPr>
        <w:t xml:space="preserve">Was funktioniert — und was nicht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6"/>
          <w:szCs w:val="26"/>
        </w:rPr>
        <w:t xml:space="preserve">Wirksam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Erinnerung nach § 766 ZPO bei formellen Mängeln des Vollstreckungsersuchens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Zahlung unter ausdrücklichem Vorbehalt und Zwang — schriftlich bei jeder Zahlung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DSGVO-Auskunft nach Art. 15 DSGVO als Werkzeug zur Aufdeckung von Widersprüchen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Auskunft bei der Einwohnermeldebehörde nach § 10/11 BMG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Kompakte, präzise Klageschrift — auf konkrete Punkte reduziert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Alle Schreiben per Einschreiben mit Rückschein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5C8A"/>
          <w:sz w:val="26"/>
          <w:szCs w:val="26"/>
        </w:rPr>
        <w:t xml:space="preserve">Weniger wirksam vor Gericht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Programmkritik und journalistische Qualitätsmängel allein als Klagegrund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Gewissensfreiheit nach Art. 4 GG — vom BVerfG nicht als Befreiungsgrund anerkannt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Überlange Schriftsätze — Gerichte behandeln 200-Seiten-Vorlagen als pauschal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0392B" w:sz="6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Stand: Mai 2026  ·  rundfunkkritik.de  ·  Alle personenbezogenen Daten anonymisiert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Kein Rechtsanwalt — kein Ersatz für anwaltliche Beratung.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4" w:space="1"/>
      </w:pBdr>
      <w:spacing w:after="160" w:before="480"/>
      <w:outlineLvl w:val="0"/>
    </w:pPr>
    <w:rPr>
      <w:rFonts w:ascii="Arial" w:cs="Arial" w:eastAsia="Arial" w:hAnsi="Arial"/>
      <w:b/>
      <w:bCs/>
      <w:color w:val="1A2F4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F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2026-05-20T20:12:06.595Z</dcterms:created>
  <dcterms:modified xsi:type="dcterms:W3CDTF">2026-05-20T20:12:06.595Z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