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A2F4A"/>
          <w:sz w:val="60"/>
          <w:szCs w:val="60"/>
        </w:rPr>
        <w:t xml:space="preserve">KLAGESCHRIFT</w:t>
      </w:r>
    </w:p>
    <w:p>
      <w:pPr>
        <w:spacing w:after="80" w:before="0"/>
      </w:pPr>
      <w:r>
        <w:rPr>
          <w:rFonts w:ascii="Arial" w:cs="Arial" w:eastAsia="Arial" w:hAnsi="Arial"/>
          <w:color w:val="2E5C8A"/>
          <w:sz w:val="32"/>
          <w:szCs w:val="32"/>
        </w:rPr>
        <w:t xml:space="preserve">Rundfunkbeitrag — Modulare Beweisbausteine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Fassung Mai 2026 · Auf Basis BVerwG 6 C 5.24 und BGH VII ZB 29/24</w:t>
      </w:r>
    </w:p>
    <w:p>
      <w:pPr>
        <w:pBdr>
          <w:bottom w:val="single" w:color="2E5C8A" w:sz="6" w:space="1"/>
        </w:pBdr>
        <w:spacing w:after="24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Verwendungshinweis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Dieses Dokument ist modular aufgebaut. Jeder Baustein steht für sich und kann einzeln oder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kombiniert in eine Klage eingebracht werden. Gerichte reagieren zunehmend kritisch auf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230-seitige Pauschalvorträge — dieser Ansatz liefert gezielt das, was das jeweilige Verfahren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benötigt: Baustein A für Programmrüge, Baustein B–C für Vollstreckungsangriff,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Baustein D für Datenschutz, Baustein E für den verfassungsrechtlichen Kern.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Kein Rechtsanwalt — ersetzt keine anwaltliche Beratung. Alle Aktenzeichen im Dokument sind reale Verfahren.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Übersicht der Bausteine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26"/>
        <w:gridCol w:w="25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Baustein / Thema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Einsatzbereich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Programmrüge — Strukturelle Defizite (BVerwG-Linie)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Hauptklage gegen Beitragspflicht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B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Vollstreckungsangriff — Formelle Wirksamkeit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Wenn Vollstreckung läuft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C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Zeugen &amp; Whistleblower — Interne Kritiker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Beweisanträge im Hauptverfahren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Datenschutz — DSGVO-Verstöße des Beitragsservice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Separate Datenschutzklage / Zusatzrüge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Verfassungsrechtlicher Kern — Art. 3, 5, 19 GG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Vorlage an BVerfG / Revision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F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Beweislast &amp; Informationsasymmetrie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Prozessuale Strategie in allen Verfahren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Gerichtsübersicht — 22+ Verfahren mit Aktenzeichen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Recherchegrundlage &amp; Verlinkung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Vollstreckungsfälle — Behörden &amp; Muster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Vollstreckungsstrang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Baustein A — Programmrüge: Strukturelle Defizite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Kernthese dieses Bausteins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Die Beitragspflicht ist verfassungsrechtlich an die Vorteilhaftigkeit eines vielfältigen Gesamtprogramms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geknüpft. Wenn der ÖRR seinen Funktionsauftrag strukturell verfehlt, entfällt die Rechtfertigung.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Grundlage: BVerwG, Urteil vom 15.10.2025 — 6 C 5.24 (Leipzig).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A-1 · Die neue BVerwG-Linie (Dreh- und Angelpunkt)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Urteil: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BVerwG, 15.10.2025 — Az. 6 C 5.24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 · Leipzig · </w:t>
      </w:r>
      <w:hyperlink w:history="1" r:id="rId2mhjyemzntvrtonjbu7ru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→ Volltext auf bverwg.de</w:t>
        </w:r>
      </w:hyperlink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Bundesverwaltungsgericht hat mit diesem Urteil eine neue Messlatte gesetzt. Die alte Linie — Programmkritik spielt für die Beitragspflicht keine Rolle — gilt nicht mehr uneingeschränkt. Die neue Linie lautet: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Verfassungsrechtlich besteht ein Konnex zwischen Beitragspflicht und der Vorteilhaftigkeit des Gesamtprogramms.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Die Beitragspflicht kann problematisch werden, wenn das Gesamtprogrammangebot über längere Zeit gröblich gegen Vielfalt und Ausgewogenheit verstößt.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Für einen substantiierten Vortrag braucht es in der Regel ein wissenschaftliches Gutachten — keine Einzelbeispiele.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Gegenstand ist das Gesamtprogramm aller ÖRR-Anstalten, nicht eine einzelne Sendung oder ein Sender.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Strategischer Schlüssel: Wer einzelne Sendungen oder einzelne Themen wie Corona oder Ukraine angreift, verliert. Die Gerichte verlangen Indikatoren, Zeitraum, Korpus, Methode, Auswertung, Vergleich und Defizitkriterien über mindestens zwei Jahre.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A-1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BVerwG-Urteil 6 C 5.24 vom 15.10.2025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Grundnorm der neuen Strategie. Verlagerung von Medienkritik zu Rechtsschutzfrage. Zitiert in fast allen Instanzverfahren 2025/2026.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bdk8_fvaoe_zkcefhsedx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BVerwG Entscheidungssuche (Suche: 6 C 5.24)</w:t>
              </w:r>
            </w:hyperlink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Beschaffung: Volltext beim Bundesverwaltungsgericht Leipzig anfordern oder über </w:t>
            </w:r>
            <w:hyperlink w:history="1" r:id="rIderk9uak1i7b2zcryyshtq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juris.de</w:t>
              </w:r>
            </w:hyperlink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Screenshot/PDF-Auszug einfügen: Leitsätze BVerwG 6 C 5.24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Offizielle Veröffentlichung oder Scan der Leitsätze — Seite 1–2 des Urteils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A-2 · Das wissenschaftliche Gutachten (Vorgutachten Beitragsstopper)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Quelle: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Beitragsstopper / Freiheitskanzlei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· Stand Mai 2026 · </w:t>
      </w:r>
      <w:hyperlink w:history="1" r:id="rIdophj-8yd8d8c-fhjjf8h0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→ www.beitragsstopper.de</w:t>
        </w:r>
      </w:hyperlink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Vorgutachten der Freiheitskanzlei erfüllt sämtliche Anforderungen, die Gerichte bislang mit 'substantiierten Vortrag' gemeint haben: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Gesamtprogrammanalyse — nicht einzelne Sendungen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Mindestens zwei Jahre Betrachtungszeitraum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Wissenschaftliche Methodik und geeignete Indikatoren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Nachweis regelmäßiger und evidenter Defizite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Beleg der Informationsasymmetrie (Rundfunk hat Daten, Bürger nicht)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A-2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Vorgutachten Beitragsstopper (Freiheitskanzlei, 2026)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Dieses Gutachten ist der Angriff auf die 'wissenschaftliche Hürde' der Gerichte. Es ist als Beweisantrag einreichbar und als Grundlage für sekundäre Darlegungslast nutzbar.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v6xlooadrvaaiez2yof1v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www.beitragsstopper.de (Direktlink Gutachten)</w:t>
              </w:r>
            </w:hyperlink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Alternativ direkt bei Freiheitskanzlei anfordern: </w:t>
            </w:r>
            <w:hyperlink w:history="1" r:id="rIdhmbyatgkjfderec931_9e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freiheitskanzlei.de</w:t>
              </w:r>
            </w:hyperlink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Screenshot/PDF-Auszug einfügen: Deckblatt oder Inhaltsverzeichnis Vorgutachten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Deckblatt + Inhaltsverzeichnis des Gutachtens als Beleg der Existenz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A-3 · Inhaltsanalysen als Beweismittel (Media Tenor / weitere)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Gerichte verlangen keine persönliche Meinung, sondern Daten. Die folgenden Studien sind als Anlage A-3 in eine Klage einreichbar: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A-3a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Media Tenor: Inhaltsanalysen ARD/ZDF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Wissenschaftliche Inhaltsanalysen, die über 80 % Übereinstimmung politischer Frames bei ARD/ZDF dokumentieren. Anerkannte Methodik, zitierfähig.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3vkvktdobnpzdw34firtc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mediatenor.com (Studien &amp; Reports)</w:t>
              </w:r>
            </w:hyperlink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Buch: Roland Schatz / Media Tenor — direkt anfragen für Studiendaten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Screenshot/Link: Media Tenor Studie oder Buchcover (C-3)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Buchcover oder Studientitel als Belegnachweis — z.B. von mediatenor.com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A-3b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Weitere Studien: Bertelsmann, Reuters Institute, Kepplinger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Unterstützende Quellen für systematische Einseitigkeit und Herdenjournalismus im deutschen ÖRR.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7dkrcxjbn7uktn8weyvsh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Reuters Institute Digital News Report (Jahresbericht, Oxford)</w:t>
              </w:r>
            </w:hyperlink>
          </w:p>
          <w:p>
            <w:pPr>
              <w:spacing w:after="60" w:before="0"/>
            </w:pPr>
            <w:hyperlink w:history="1" r:id="rIdyjnvd7m2aj2l1l81bo5yg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Bertelsmann Stiftung — Publikationen Medienwandel</w:t>
              </w:r>
            </w:hyperlink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Baustein B — Vollstreckungsangriff: Formelle Wirksamkeit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Wann dieser Baustein greift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Sobald ein Vollstreckungsersuchen, eine Vermögensauskunft, ein Pfändungsauftrag oder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eine Mahnung eingehen — sofort diesen Baustein einsetzen. Nicht abwarten.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Grundlage: BGH, Beschluss vom 25.02.2026 — VII ZB 29/24.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B-1 · Der BGH-Beschluss (Verantwortungszurechnung)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Beschluss: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BGH, 25.02.2026 — Az. VII ZB 29/24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· Bundesgerichtshof Karlsruhe · </w:t>
      </w:r>
      <w:hyperlink w:history="1" r:id="rIdbjtgaztrr7lgwe4uakmim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→ bundesgerichtshof.de</w:t>
        </w:r>
      </w:hyperlink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BGH hat klargestellt: Auch elektronische Vollstreckungsersuchen benötigen eine konkrete persönliche Verantwortungszurechnung. Die bloße Nennung einer Intendantin oder Organbezeichnung genügt nicht. Vollautomatisierung entbindet nicht von rechtsstaatlichen Verantwortlichkeitsanforderungen.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B-1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BGH VII ZB 29/24 vom 25.02.2026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Zentraler Hebel gegen maschinelle Vollstreckungsersuchen. Fragt: Wer hat konkret gehandelt? Wer hat geprüft? Wer trägt Verantwortung?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p52nc84rlqf10stfzcrzu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BGH Entscheidungssuche (Az. VII ZB 29/24)</w:t>
              </w:r>
            </w:hyperlink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Nachlesen: Markus Bönig, Substack-Essay Mai 2026 — Abschnitt IV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Screenshot/PDF-Auszug einfügen: Leitsatz BGH VII ZB 29/24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Beschlusstext Seite 1 oder Leitsatz der BGH-Entscheidung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B-2 · AG Passau — Erste praktische Umsetzung der BGH-Linie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Urteil: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AG Passau, 08.08.2025 — Az. 4 M 5863/25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Amtsgericht Passau setzte die BGH-Linie erstmals praktisch um: Vollstreckungsersuchen wegen fehlender konkreter verantwortlicher Person für formunwirksam erklärt. Alle Vollstreckungsmaßnahmen einschließlich Vermögensauskunft und Eintragungsanordnung wurden aufgehoben.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B-2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 Passau 4 M 5863/25 vom 08.08.2025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Erste operative Umsetzung der BGH-Linie. Vollstreckungsersuchen formunwirksam. Dieser Beschluss ist das Muster für alle laufenden Vollstreckungsverfahren.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Aktenzeichen: 4 M 5863/25 — Anforderung beim AG Passau oder über juristische Datenbanken</w:t>
            </w:r>
          </w:p>
          <w:p>
            <w:pPr>
              <w:spacing w:after="60" w:before="0"/>
            </w:pPr>
            <w:hyperlink w:history="1" r:id="rIdtknegnuwu0g4nacdw_7bf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Bundesamt für Justiz — Rechtsprechungsdatenbank</w:t>
              </w:r>
            </w:hyperlink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Screenshot/PDF-Auszug einfügen: Beschluss AG Passau 4 M 5863/25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Deckblatt oder Leitsatz des Beschlusses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B-3 · Fragen, die jedes Vollstreckungsersuchen beantworten muss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Auf Basis der BGH-Linie sind folgende Fragen an jedes Vollstreckungsersuchen zu stellen und im Schriftsatz zu formulieren: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Wer hat das Vollstreckungsersuchen konkret erstellt — Name, Funktion, Datum?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Wie wurde das Ersuchen elektronisch erzeugt — automatisiert oder individuell geprüft?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Wer hat die inhaltliche Prüfung vorgenommen — Nachweis der Einzelfallprüfung?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Wer hat elektronisch signiert — digitale Signatur, qualifiziert oder einfach?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Wurde der Bescheid ordnungsgemäß bekanntgegeben — Nachweis der Zustellung?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Ist der Titel bestandskräftig — oder liegt Widerspruch / Klage vor?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Ist die Forderung verjährt — Prüfung § 197 BGB analog?</w:t>
      </w:r>
    </w:p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Baustein C — Zeugen &amp; Whistleblower: Interne Kritiker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Funktion dieses Bausteins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Aussagen ehemaliger ÖRR-Mitarbeiter sind keine Meinungen — sie sind Beweismittel.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Sie belegen internen Konformitätsdruck, Regierungsnähe und strukturelle Einseitigkeit.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Als Beweisantrag: 'Zum Beweis der strukturellen Einseitigkeit wird beantragt, [Name] als Zeugen zu laden.'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C-1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Wolfgang Herles — ehemaliger ZDF-Chefredakteur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Herles hat öffentlich erklärt, er und seine Kollegen seien angehalten worden, 'nicht gegen den Strom zu schwimmen'. Interner Konformitätsdruck als strukturelles Muster.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gql5tnymjsqukk_ddkxyq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Interview Herles: 'Wir lügen nicht, aber wir verschweigen' (NachDenkSeiten 2016)</w:t>
              </w:r>
            </w:hyperlink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Buch: Herles, 'Wir haben keine Angst' — Belege für Konformitätsdruck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Screenshot/Link: öffentliches Interview oder Buchcover C-1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Screenshot des NachDenkSeiten-Interviews oder Buchcover 'Wir haben keine Angst'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C-2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Ulrich Tilgner — ehemaliger ZDF-Korrespondent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Tilgner berichtete über interne Zensur und Selbstzensur im Nahost-Journalismus des ZDF. Konkrete Belege für redaktionelle Eingriffe von oben.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nmgrqguflvdd2atmd-a1j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Tilgner-Interviews (Suche: 'Ulrich Tilgner ZDF Zensur')</w:t>
              </w:r>
            </w:hyperlink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Screenshot/Link: öffentliches Interview oder Buchcover C-2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Screenshot eines öffentlichen Interviews von Ulrich Tilgner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C-3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Roland Schatz / Media Tenor — Wissenschaftliche Dokumentation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Media Tenor dokumentiert seit Jahrzehnten mit anerkannter Methodik politische Frames, Expertenauswahl und Tonalität. Zitierfähig als wissenschaftliches Gutachten.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rmwpap4dtiqgrpajufopn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mediatenor.com</w:t>
              </w:r>
            </w:hyperlink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Kontakt: Roland Schatz für Gutachten / Expertenaussage anfragen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Screenshot/Link: öffentliches Interview oder Buchcover C-3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Buchcover eines Media-Tenor-Reports oder Screenshot der Website mediatenor.com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C-4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Peter Hahne / Michael Meyen — Soft Ostracism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Belegen das Muster der schleichenden Kaltstellung interner Kritiker (Soft Ostracism): Entzug von Ressourcen, Themen, Sendeplätzen — ohne formale Kündigung.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e4_btxfpiicpzwhiddhpp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Meyen, Michael: 'Die Propaganda-Matrix' — Belege Soft Ostracism</w:t>
              </w:r>
            </w:hyperlink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Screenshot/Link: öffentliches Interview oder Buchcover C-4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Buchcover oder Screenshot eines öffentlichen Interviews Hahne / Meyen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Baustein D — Datenschutz: DSGVO-Verstöße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Besonderheit: Separater Klageweg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Datenschutzverstöße können unabhängig von der Beitragsfrage geltend gemacht werden.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Zuständig: Bayerisches Landesamt für Datenschutzaufsicht (BayLDA) oder direkt Verwaltungsgericht.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Dieser Baustein ergänzt jeden anderen Baustein und ist separat einreichbar.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D-1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Meldedatenabgleich — Rechtsgrundlage und Transparenzpflicht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Der Beitragsservice führt automatisierte Meldedatenabgleiche durch. Rechtsgrundlage: § 14 RBStV. Fraglich: Erfüllt er die DSGVO-Anforderungen an Zweckbindung, Transparenz, Verhältnismäßigkeit?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clqrwupcbpi7jzf7zhibi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§ 14 RBStV (Gesetzeswortlaut auf gesetze-im-internet.de)</w:t>
              </w:r>
            </w:hyperlink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Rüge: Fehlende DSGVO-Datenschutz-Folgenabschätzung (Art. 35 DSGVO)</w:t>
            </w:r>
          </w:p>
          <w:p>
            <w:pPr>
              <w:spacing w:after="60" w:before="0"/>
            </w:pPr>
            <w:hyperlink w:history="1" r:id="rIdkt8_htbe189-vhp5wws2g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Beschwerde beim BayLDA: www.lda.bayern.de</w:t>
              </w:r>
            </w:hyperlink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D-2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Automatisierte Bescheide — Verbot nach Art. 22 DSGVO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Vollautomatisierte Entscheidungen ohne menschliche Prüfung verstoßen gegen Art. 22 DSGVO, sofern sie den Betroffenen erheblich beeinflussen. Rundfunkbeitragsbescheide sind erhebliche Eingriffe.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ckj9fz0hivlvmrzfjze9h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Art. 22 DSGVO (Datenschutz-Grundverordnung)</w:t>
              </w:r>
            </w:hyperlink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VG Würzburg W 3 S 25.2191 trennt explizit: Beitragsbescheid / Datenverarbeitung / Unterlassung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Baustein E — Verfassungsrechtlicher Kern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Für Musterverfahren und Revisionen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Dieser Baustein gehört in Musterverfahren, nicht in Massenverfahren.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Massenverfahren: Baustein A/B, kleiner Streitwert, nur Bescheidaufhebung.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Musterverfahren: Baustein E mit Vorlageantrag an BVerfG — BVerfG-Termin 23. Juni 2026 ist aktuell!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E-1 · Asymmetrische Aufsicht (Art. 3 GG)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Freie Medien unterliegen der Kontrolle durch Landesmedienanstalten und können sanktioniert werden. Der ÖRR unterliegt nur internen, politisch besetzten Rundfunkräten. Diese strukturelle Ungleichbehandlung verletzt Art. 3 GG — gleiche Anforderungen an Vielfalt, ungleiche Kontrolle.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E-2 · Rechtsschutzgarantie (Art. 19 Abs. 4 GG)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Art. 19 Abs. 4 GG garantiert effektiven Rechtsschutz. Wenn Gerichte wissenschaftliche Gesamtanalysen verlangen und zugleich die Datenoffenlegung verweigern, läuft dieser Rechtsschutz leer. Der Bürger soll ein System beweisen, zu dessen Daten er keinen Zugang hat.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Argumentation: Sekundäre Darlegungslast — wenn der Rundfunk die Daten hat und verweigert, muss die Darlegungslast prozessual angepasst werden. Dann muss das Gericht nach § 86 VwGO aufklären. Andernfalls: Art. 19 Abs. 4 GG ausgehöhlt.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E-3 · Rundfunkfreiheit vs. Staatsferne (Art. 5 GG)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Art. 5 GG garantiert nicht nur Rundfunkfreiheit, sondern schützt auch vor staatlichem Einfluss auf den Rundfunk. Politisch besetzte Rundfunkräte, Intendantenernennungen durch Landesregierungen und Näheverhältnisse zur Politik verletzen das Staatsferneprinzip des BVerfG.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E-3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BVerfG 1 BvF 1/11 — ZDF-Staatsvertrag (2014)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Das Bundesverfassungsgericht hat 2014 klar formuliert: Der ÖRR muss staatsfern sein. Politisch besetzte Gremien verstoßen gegen dieses Gebot. Dieses Urteil ist Fundament für alle Staatsferneargumente.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vjy4pjeiqharoyyk08agl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BVerfG 1 BvF 1/11 vom 25.03.2014 (Urteil ZDF-Staatsvertrag)</w:t>
              </w:r>
            </w:hyperlink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dashed" w:color="888888" w:sz="4"/>
                    <w:left w:val="dashed" w:color="888888" w:sz="4"/>
                    <w:bottom w:val="dashed" w:color="888888" w:sz="4"/>
                    <w:right w:val="dashed" w:color="888888" w:sz="4"/>
                  </w:tcBorders>
                  <w:shd w:fill="FDF6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📷  Screenshot/PDF-Auszug einfügen: Leitsätze BVerfG 1 BvF 1/11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20"/>
                      <w:szCs w:val="20"/>
                    </w:rPr>
                    <w:t xml:space="preserve">Leitsätze des ZDF-Staatsvertragsurteils von 2014 — Seite 1–2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Baustein F — Beweislast &amp; Informationsasymmetrie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Dies ist der prozessuale Schlüsselbaustein. Er passt in jedes Verfahren.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F-1 · Sekundäre Darlegungslast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BGH-Baustein vom 09.03.2026, Az. VI ZR 335/24, hat diese Linie gestärkt: Wenn nur eine Partei Zugang zu entscheidenden Informationen hat, darf die andere nicht an Beweisnot scheitern. Übertragen auf Rundfunkverfahren: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Der Bürger sieht nur das ausgestrahlte Endprodukt.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Der Rundfunk kontrolliert Archive, Daten, Auswahlmechanismen, interne Qualitätskontrolle, Redaktionsleitlinien.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Verweigert der Rundfunk Datenzugang: strukturelle Beweisnot.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Dann muss das Gericht nach § 86 VwGO aufklären — oder die Darlegungslast verschiebt sich.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F-1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BGH VI ZR 335/24 vom 09.03.2026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Sekundäre Darlegungslast bei Informationsasymmetrie. Direkt auf Rundfunkverfahren übertragbar: Der Rundfunk hat die Daten, der Bürger nicht.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single" w:color="2E5C8A" w:sz="8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Belege / Links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D0E4F5" w:sz="2"/>
              <w:right w:val="none" w:color="FFFFFF" w:sz="0"/>
            </w:tcBorders>
            <w:shd w:fill="F2F5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hyperlink w:history="1" r:id="rId_dunew7tyktknivzyx_6a">
              <w:r>
                <w:rPr>
                  <w:rFonts w:ascii="Arial" w:cs="Arial" w:eastAsia="Arial" w:hAnsi="Arial"/>
                  <w:color w:val="2E5C8A"/>
                  <w:sz w:val="22"/>
                  <w:szCs w:val="22"/>
                  <w:u w:val="single"/>
                </w:rPr>
                <w:t xml:space="preserve">→ BGH Rechtsprechung (Az. VI ZR 335/24)</w:t>
              </w:r>
            </w:hyperlink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F-2 · Prozessuale Doppelstrategie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Aus dem Bönig-Essay (Mai 2026) — die Kernstrategie für alle Verfahren: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Massenverfahren klein halten: Nur Bescheidaufhebung, niedriger Streitwert, keine überladenen Systemanträge.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Musterverfahren groß führen: Gutachten, Datenzugang, Rohdaten, Beweisanträge, sekundäre Darlegungslast, Art. 19 Abs. 4 GG, § 86 VwGO.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Nie beides mischen — das ist der häufigste Fehler der bisherigen 230-Seiten-Klagen.</w:t>
      </w:r>
    </w:p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Baustein G — Gerichtsübersicht: 22+ Verfahren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Alle genannten Aktenzeichen stammen aus dem Bönig-Essay (Substack, Mai 2026). Stand: Mai 2026.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G-1 · Programmrüge-Verfahren (Instanzgerichte)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2200"/>
        <w:gridCol w:w="2426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Gericht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Aktenzeichen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Thema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Strateg. Kommentar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BVerwG Leipzig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 C 5.24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Grundnorm — Programmrüge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Fundament aller Verfahren 2025/26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BayVGH München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BV 25.2291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BR-Abwehr / Darlegungshürde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 nutzt BVerwG als Schutzwall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Augsburg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Hinweis 26.01.2026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Gutachten-Schwelle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Operationalisiert BVerwG-Formel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Regensburg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RN 3 K 25.291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Eilverfahren Vollstreckung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Rechtsschutzlücke bei laufender Vollstreckung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Stuttgart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 K 1203/25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Darlegungslast / Klägeraufgabe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SWR-Parallelentscheidung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Stuttgart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 K 15357/25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VGH-BW Druckmittel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Psychologischer Rückzugsdruck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Düsseldorf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27 K 9336/24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Rücknahmeempfehlung § 84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Vorzeigen des Ausgangs vorab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Weimar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K 20/26 We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Keine sek. Darlegungslast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Dogmatisch sauber — praktisch brutal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Potsdam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11 K 3620/24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Gesamtprogramm / Kompensation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Fragt nach mündl. Verhandlung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Saarland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K 1904/25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Gerichtsbescheid angekündigt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Frühe Post-BVerwG-Umsetzung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Freiburg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K 5977/24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Gesamtprogramm-Formel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Standardformulierung BVerwG-Linie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Hannover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A 4178/24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NDR widerspricht Ruhen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NDR verhindert Bündelung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Berlin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27 K 343/24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Informationsasymmetrie RBB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RBB: öffentlich zugänglich = kein Problem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Berlin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27 K 460/24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Datenzugang / Asymmetrie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Gegenargument wird eingeführt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Würzburg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 3 K 25.2191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Trennung der Streitgegenstände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Gerichte zerlegen Komplexklagen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Würzburg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 3 S 25.2191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Unterlassung Datenverarbeitung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DSGVO-Strang separat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Oldenburg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 A 5793/25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Amtsermittlung ausgeschlossen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BVerwG-Anforderungen übernommen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Lüneburg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A 113/20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Kompensations-Gesamtprogramm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Frühe NDR-Entscheidung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Trier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(Az. nicht lesbar)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Frühe Standardisierung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Post-BVerwG schnelle Linie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Wiesbaden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K 202/26.WI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HR — klassische Abwehr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Alt + neu kombiniert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Kassel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(Az. nicht lesbar)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Widerspruch offen beschrieben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Art.-19-Abs.-4-Hebel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VG Meiningen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(Az. nicht lesbar)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MDR-Linie: keine Daten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Beweisnot-These gestärkt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Baustein H — Vollstreckungsfälle: Behörden &amp; Muster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Diese Fälle zeigen das gemeinsame Muster: Behörden handeln, wollen aber nicht verantwortlich sein.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800"/>
        <w:gridCol w:w="4426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Behörde / Gericht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Aktenzeichen</w:t>
            </w:r>
          </w:p>
        </w:tc>
        <w:tc>
          <w:tcPr>
            <w:tcW w:type="dxa" w:w="4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Kernargument der Behörde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BGH (Vollstreckung)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VII ZB 29/24 (25.02.2026)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Elektronische Ersuchen brauchen persönliche Verantwortung — Organfiktion reicht nicht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 Passau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4 M 5863/25 (08.08.2025)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Vollstreckung formunwirksam — keine konkrete verantwortliche Person benannt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 Augsburg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02 M 4262/26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Frage: Ist Verfahren abgeschlossen? — maschinell gezeichneter Auftrag problematisch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LG Kempten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42 T 408/25 (17.03.2026)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Namens-/Organangabe reicht nicht — Frage echter Verantwortungsübernahme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GV Viersen / NRW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Az. 176853416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BGH betreffe nur Bayern — NRW vollstreckt nach VwVG NRW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Stadt Koblenz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21/VST-NO 204534 2026/6393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BGH betreffe nur SWR/Bayern — Zuständigkeitsflucht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Gemeinde Neuenhagen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BGM_AA_R_0012-26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BGH sei Verfahrensfehler — Vollstreckung schon 2023 abgeschlossen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Saale-Holzland-Kreis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(Thüringen)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Amtshilfe MDR — elektronische Schnittstelle — sachbearbeiterlos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Bergisch Gladbach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DR II 265/26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Vollstreckungsersuchen / Verantwortlichkeit / BGH-Linie als Einwand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Neuss/Dormagen WDR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DR II 333/26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Maschinenraum sichtbar: wer ist Intendantin — echte Übernahme oder Symbolik?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color w:val="1A2F4A"/>
        </w:rPr>
        <w:t xml:space="preserve">Anhang — Quellen, Links &amp; nächste Schritte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Primärquellen (Gerichtsurteile)</w:t>
      </w:r>
    </w:p>
    <w:p>
      <w:pPr>
        <w:spacing w:after="120" w:before="80"/>
        <w:jc w:val="left"/>
      </w:pPr>
      <w:hyperlink w:history="1" r:id="rIdcbalbfx1tg1e5gmdturcu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BVerwG 6 C 5.24 (15.10.2025) → bverwg.de</w:t>
        </w:r>
      </w:hyperlink>
    </w:p>
    <w:p>
      <w:pPr>
        <w:spacing w:after="120" w:before="80"/>
        <w:jc w:val="left"/>
      </w:pPr>
      <w:hyperlink w:history="1" r:id="rIdiwv4gqiafrgrqbcnqwl7d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BGH VII ZB 29/24 (25.02.2026) → bundesgerichtshof.de</w:t>
        </w:r>
      </w:hyperlink>
    </w:p>
    <w:p>
      <w:pPr>
        <w:spacing w:after="120" w:before="80"/>
        <w:jc w:val="left"/>
      </w:pPr>
      <w:hyperlink w:history="1" r:id="rId4ozzhi9wkcibkhbxgmm0t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BVerfG 1 BvF 1/11 (ZDF-Staatsvertrag 2014) → bundesverfassungsgericht.de</w:t>
        </w:r>
      </w:hyperlink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Sekundärquellen</w:t>
      </w:r>
    </w:p>
    <w:p>
      <w:pPr>
        <w:spacing w:after="120" w:before="80"/>
        <w:jc w:val="left"/>
      </w:pPr>
      <w:hyperlink w:history="1" r:id="rIdnaxim-nzphrdagvxiew7b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Bönig, Markus: Essay 'Der Rundfunkbeitrag vor Gericht' (Substack, Mai 2026)</w:t>
        </w:r>
      </w:hyperlink>
    </w:p>
    <w:p>
      <w:pPr>
        <w:spacing w:after="120" w:before="80"/>
        <w:jc w:val="left"/>
      </w:pPr>
      <w:hyperlink w:history="1" r:id="rIdcppqh3cw323f-dylhvj11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Beitragsstopper / Freiheitskanzlei → www.beitragsstopper.de</w:t>
        </w:r>
      </w:hyperlink>
    </w:p>
    <w:p>
      <w:pPr>
        <w:spacing w:after="120" w:before="80"/>
        <w:jc w:val="left"/>
      </w:pPr>
      <w:hyperlink w:history="1" r:id="rIdgtc7d2kictfjvefwzfxhw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Media Tenor (Schatz) → www.mediatenor.com</w:t>
        </w:r>
      </w:hyperlink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1A2F4A"/>
        </w:rPr>
        <w:t xml:space="preserve">Nächste Schritte — Pendeliste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Prof. Rieck und Roland Schatz anschreiben (diese Woche)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Banner 6 auf Social Media posten — BVerfG-Termin 23. Juni 2026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Artikel zu BVerwG + BVerfG-Ausblick schreiben (zeitkritisch — vor 23. Juni!)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Postfach-Adresse ins Impressum eintragen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Downloads-Bereich: Klageschrift-PDF + DOCX ergänzen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Sitemap bei Google Search Console einreichen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Favicon für Tab-Leiste einbauen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Link Bräutigam (ÖRR-Kritik) — toter Link ersetzen oder streichen</w:t>
      </w:r>
    </w:p>
    <w:p>
      <w:pPr>
        <w:spacing w:after="0" w:before="120"/>
      </w:pPr>
      <w:r>
        <w:t xml:space="preserve"/>
      </w:r>
    </w:p>
    <w:p>
      <w:pPr>
        <w:pBdr>
          <w:bottom w:val="single" w:color="C0392B" w:sz="6" w:space="1"/>
        </w:pBdr>
        <w:spacing w:after="240" w:before="240"/>
      </w:pPr>
    </w:p>
    <w:p>
      <w:pPr>
        <w:spacing w:after="12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Stand: Mai 2026 · rundfunkkritik.de · Kein Rechtsanwalt. Kein Ersatz für anwaltliche Beratung.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8A" w:sz="4" w:space="1"/>
      </w:pBdr>
      <w:spacing w:after="0" w:before="160"/>
    </w:pPr>
    <w:r>
      <w:rPr>
        <w:rFonts w:ascii="Arial" w:cs="Arial" w:eastAsia="Arial" w:hAnsi="Arial"/>
        <w:color w:val="888888"/>
        <w:sz w:val="18"/>
        <w:szCs w:val="18"/>
      </w:rPr>
      <w:t xml:space="preserve">rundfunkkritik.de  |  Kein Rechtsanwalt — kein Ersatz für anwaltliche Beratung  |  Seite </w:t>
    </w:r>
    <w:r>
      <w:rPr>
        <w:rFonts w:ascii="Arial" w:cs="Arial" w:eastAsia="Arial" w:hAnsi="Arial"/>
        <w:color w:val="888888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4" w:space="1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Klageschrift Rundfunkbeitrag — Modulare Bausteine  |  Stand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4" w:space="1"/>
      </w:pBdr>
      <w:spacing w:after="160" w:before="480"/>
      <w:outlineLvl w:val="0"/>
    </w:pPr>
    <w:rPr>
      <w:rFonts w:ascii="Arial" w:cs="Arial" w:eastAsia="Arial" w:hAnsi="Arial"/>
      <w:b/>
      <w:bCs/>
      <w:color w:val="1A2F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mhjyemzntvrtonjbu7ru" Type="http://schemas.openxmlformats.org/officeDocument/2006/relationships/hyperlink" Target="https://www.bverwg.de" TargetMode="External"/><Relationship Id="rIdbdk8_fvaoe_zkcefhsedx" Type="http://schemas.openxmlformats.org/officeDocument/2006/relationships/hyperlink" Target="https://www.bverwg.de/entscheidungen/entscheidungssuche" TargetMode="External"/><Relationship Id="rIderk9uak1i7b2zcryyshtq" Type="http://schemas.openxmlformats.org/officeDocument/2006/relationships/hyperlink" Target="https://www.juris.de" TargetMode="External"/><Relationship Id="rIdophj-8yd8d8c-fhjjf8h0" Type="http://schemas.openxmlformats.org/officeDocument/2006/relationships/hyperlink" Target="https://www.beitragsstopper.de" TargetMode="External"/><Relationship Id="rIdv6xlooadrvaaiez2yof1v" Type="http://schemas.openxmlformats.org/officeDocument/2006/relationships/hyperlink" Target="https://www.beitragsstopper.de" TargetMode="External"/><Relationship Id="rIdhmbyatgkjfderec931_9e" Type="http://schemas.openxmlformats.org/officeDocument/2006/relationships/hyperlink" Target="https://www.freiheitskanzlei.de" TargetMode="External"/><Relationship Id="rId3vkvktdobnpzdw34firtc" Type="http://schemas.openxmlformats.org/officeDocument/2006/relationships/hyperlink" Target="https://www.mediatenor.com" TargetMode="External"/><Relationship Id="rId7dkrcxjbn7uktn8weyvsh" Type="http://schemas.openxmlformats.org/officeDocument/2006/relationships/hyperlink" Target="https://reutersinstitute.politics.ox.ac.uk/digital-news-report" TargetMode="External"/><Relationship Id="rIdyjnvd7m2aj2l1l81bo5yg" Type="http://schemas.openxmlformats.org/officeDocument/2006/relationships/hyperlink" Target="https://www.bertelsmann-stiftung.de" TargetMode="External"/><Relationship Id="rIdbjtgaztrr7lgwe4uakmim" Type="http://schemas.openxmlformats.org/officeDocument/2006/relationships/hyperlink" Target="https://www.bundesgerichtshof.de" TargetMode="External"/><Relationship Id="rIdp52nc84rlqf10stfzcrzu" Type="http://schemas.openxmlformats.org/officeDocument/2006/relationships/hyperlink" Target="https://juris.bundesgerichtshof.de/cgi-bin/rechtsprechung/list.py" TargetMode="External"/><Relationship Id="rIdtknegnuwu0g4nacdw_7bf" Type="http://schemas.openxmlformats.org/officeDocument/2006/relationships/hyperlink" Target="https://www.buzer.de" TargetMode="External"/><Relationship Id="rIdgql5tnymjsqukk_ddkxyq" Type="http://schemas.openxmlformats.org/officeDocument/2006/relationships/hyperlink" Target="https://www.nachdenkseiten.de/?p=31641" TargetMode="External"/><Relationship Id="rIdnmgrqguflvdd2atmd-a1j" Type="http://schemas.openxmlformats.org/officeDocument/2006/relationships/hyperlink" Target="https://www.google.com/search?q=Ulrich+Tilgner+ZDF+Zensur+Interview" TargetMode="External"/><Relationship Id="rIdrmwpap4dtiqgrpajufopn" Type="http://schemas.openxmlformats.org/officeDocument/2006/relationships/hyperlink" Target="https://www.mediatenor.com" TargetMode="External"/><Relationship Id="rIde4_btxfpiicpzwhiddhpp" Type="http://schemas.openxmlformats.org/officeDocument/2006/relationships/hyperlink" Target="https://www.google.com/search?q=Michael+Meyen+Propaganda+Matrix" TargetMode="External"/><Relationship Id="rIdclqrwupcbpi7jzf7zhibi" Type="http://schemas.openxmlformats.org/officeDocument/2006/relationships/hyperlink" Target="https://www.gesetze-im-internet.de" TargetMode="External"/><Relationship Id="rIdkt8_htbe189-vhp5wws2g" Type="http://schemas.openxmlformats.org/officeDocument/2006/relationships/hyperlink" Target="https://www.lda.bayern.de" TargetMode="External"/><Relationship Id="rIdckj9fz0hivlvmrzfjze9h" Type="http://schemas.openxmlformats.org/officeDocument/2006/relationships/hyperlink" Target="https://dsgvo-gesetz.de/art-22-dsgvo/" TargetMode="External"/><Relationship Id="rIdvjy4pjeiqharoyyk08agl" Type="http://schemas.openxmlformats.org/officeDocument/2006/relationships/hyperlink" Target="https://www.bundesverfassungsgericht.de/SharedDocs/Entscheidungen/DE/2014/03/fs20140325_1bvf000111.html" TargetMode="External"/><Relationship Id="rId_dunew7tyktknivzyx_6a" Type="http://schemas.openxmlformats.org/officeDocument/2006/relationships/hyperlink" Target="https://juris.bundesgerichtshof.de/cgi-bin/rechtsprechung/list.py" TargetMode="External"/><Relationship Id="rIdcbalbfx1tg1e5gmdturcu" Type="http://schemas.openxmlformats.org/officeDocument/2006/relationships/hyperlink" Target="https://www.bverwg.de/entscheidungen/entscheidungssuche" TargetMode="External"/><Relationship Id="rIdiwv4gqiafrgrqbcnqwl7d" Type="http://schemas.openxmlformats.org/officeDocument/2006/relationships/hyperlink" Target="https://juris.bundesgerichtshof.de/cgi-bin/rechtsprechung/list.py" TargetMode="External"/><Relationship Id="rId4ozzhi9wkcibkhbxgmm0t" Type="http://schemas.openxmlformats.org/officeDocument/2006/relationships/hyperlink" Target="https://www.bundesverfassungsgericht.de/SharedDocs/Entscheidungen/DE/2014/03/fs20140325_1bvf000111.html" TargetMode="External"/><Relationship Id="rIdnaxim-nzphrdagvxiew7b" Type="http://schemas.openxmlformats.org/officeDocument/2006/relationships/hyperlink" Target="https://markusboenigsubstack.substack.com" TargetMode="External"/><Relationship Id="rIdcppqh3cw323f-dylhvj11" Type="http://schemas.openxmlformats.org/officeDocument/2006/relationships/hyperlink" Target="https://www.beitragsstopper.de" TargetMode="External"/><Relationship Id="rIdgtc7d2kictfjvefwzfxhw" Type="http://schemas.openxmlformats.org/officeDocument/2006/relationships/hyperlink" Target="https://www.mediatenor.com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2026-05-20T20:01:39.923Z</dcterms:created>
  <dcterms:modified xsi:type="dcterms:W3CDTF">2026-05-20T20:01:39.923Z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