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0"/>
      </w:pPr>
      <w:r>
        <w:rPr>
          <w:rFonts w:ascii="Arial" w:cs="Arial" w:eastAsia="Arial" w:hAnsi="Arial"/>
          <w:b/>
          <w:bCs/>
          <w:i w:val="false"/>
          <w:iCs w:val="false"/>
          <w:color w:val="1A2F4A"/>
          <w:sz w:val="52"/>
          <w:szCs w:val="52"/>
        </w:rPr>
        <w:t xml:space="preserve">Wer Deutschland wirklich prägt</w:t>
      </w:r>
    </w:p>
    <w:p>
      <w:pPr>
        <w:spacing w:after="60" w:before="0"/>
      </w:pPr>
      <w:r>
        <w:rPr>
          <w:rFonts w:ascii="Arial" w:cs="Arial" w:eastAsia="Arial" w:hAnsi="Arial"/>
          <w:b w:val="false"/>
          <w:bCs w:val="false"/>
          <w:i w:val="false"/>
          <w:iCs w:val="false"/>
          <w:color w:val="2E5C8A"/>
          <w:sz w:val="28"/>
          <w:szCs w:val="28"/>
        </w:rPr>
        <w:t xml:space="preserve">Macht, Geld und Einfluss im öffentlich-rechtlichen Rundfunk</w:t>
      </w:r>
    </w:p>
    <w:p>
      <w:pPr>
        <w:spacing w:after="60" w:before="0"/>
      </w:pPr>
      <w:r>
        <w:rPr>
          <w:rFonts w:ascii="Arial" w:cs="Arial" w:eastAsia="Arial" w:hAnsi="Arial"/>
          <w:b w:val="false"/>
          <w:bCs w:val="false"/>
          <w:i/>
          <w:iCs/>
          <w:color w:val="888888"/>
          <w:sz w:val="20"/>
          <w:szCs w:val="20"/>
        </w:rPr>
        <w:t xml:space="preserve">Eine Analyse für rundfunkkritik.de  ·  Stand Mai 2026</w:t>
      </w:r>
    </w:p>
    <w:p>
      <w:pPr>
        <w:pBdr>
          <w:bottom w:val="single" w:color="2E5C8A" w:sz="6" w:space="1"/>
        </w:pBdr>
        <w:spacing w:after="20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2F5F8" w:val="clear"/>
            <w:tcMar>
              <w:top w:type="dxa" w:w="160"/>
              <w:left w:type="dxa" w:w="240"/>
              <w:bottom w:type="dxa" w:w="160"/>
              <w:right w:type="dxa" w:w="240"/>
            </w:tcMar>
          </w:tcPr>
          <w:p>
            <w:pPr>
              <w:spacing w:after="100" w:before="0"/>
            </w:pPr>
            <w:r>
              <w:rPr>
                <w:rFonts w:ascii="Arial" w:cs="Arial" w:eastAsia="Arial" w:hAnsi="Arial"/>
                <w:b/>
                <w:bCs/>
                <w:i w:val="false"/>
                <w:iCs w:val="false"/>
                <w:color w:val="2E5C8A"/>
                <w:sz w:val="20"/>
                <w:szCs w:val="20"/>
              </w:rPr>
              <w:t xml:space="preserve">Zur Methodik</w:t>
            </w:r>
          </w:p>
          <w:p>
            <w:pPr>
              <w:spacing w:after="60" w:before="0"/>
            </w:pPr>
            <w:r>
              <w:rPr>
                <w:rFonts w:ascii="Arial" w:cs="Arial" w:eastAsia="Arial" w:hAnsi="Arial"/>
                <w:b w:val="false"/>
                <w:bCs w:val="false"/>
                <w:i w:val="false"/>
                <w:iCs w:val="false"/>
                <w:color w:val="444444"/>
                <w:sz w:val="20"/>
                <w:szCs w:val="20"/>
              </w:rPr>
              <w:t xml:space="preserve">ZDF-Gehälter: geleakte Liste (Welt am Sonntag, 2024) — verifizierte Zahlen.</w:t>
            </w:r>
          </w:p>
          <w:p>
            <w:pPr>
              <w:spacing w:after="60" w:before="0"/>
            </w:pPr>
            <w:r>
              <w:rPr>
                <w:rFonts w:ascii="Arial" w:cs="Arial" w:eastAsia="Arial" w:hAnsi="Arial"/>
                <w:b w:val="false"/>
                <w:bCs w:val="false"/>
                <w:i w:val="false"/>
                <w:iCs w:val="false"/>
                <w:color w:val="444444"/>
                <w:sz w:val="20"/>
                <w:szCs w:val="20"/>
              </w:rPr>
              <w:t xml:space="preserve">ARD-Gehälter: keine offizielle Veröffentlichung, Schätzungen auf Basis von Branchenleaks,</w:t>
            </w:r>
          </w:p>
          <w:p>
            <w:pPr>
              <w:spacing w:after="60" w:before="0"/>
            </w:pPr>
            <w:r>
              <w:rPr>
                <w:rFonts w:ascii="Arial" w:cs="Arial" w:eastAsia="Arial" w:hAnsi="Arial"/>
                <w:b w:val="false"/>
                <w:bCs w:val="false"/>
                <w:i w:val="false"/>
                <w:iCs w:val="false"/>
                <w:color w:val="444444"/>
                <w:sz w:val="20"/>
                <w:szCs w:val="20"/>
              </w:rPr>
              <w:t xml:space="preserve">Medienberichten und Sendefrequenz — als Schätzung gekennzeichnet.</w:t>
            </w:r>
          </w:p>
          <w:p>
            <w:pPr>
              <w:spacing w:after="60" w:before="0"/>
            </w:pPr>
            <w:r>
              <w:rPr>
                <w:rFonts w:ascii="Arial" w:cs="Arial" w:eastAsia="Arial" w:hAnsi="Arial"/>
                <w:b w:val="false"/>
                <w:bCs w:val="false"/>
                <w:i w:val="false"/>
                <w:iCs w:val="false"/>
                <w:color w:val="444444"/>
                <w:sz w:val="20"/>
                <w:szCs w:val="20"/>
              </w:rPr>
              <w:t xml:space="preserve">Pensionen ÖRR: Kombination aus öffentlichen Angaben (RBB-Skandal) und Branchen-</w:t>
            </w:r>
          </w:p>
          <w:p>
            <w:pPr>
              <w:spacing w:after="60" w:before="0"/>
            </w:pPr>
            <w:r>
              <w:rPr>
                <w:rFonts w:ascii="Arial" w:cs="Arial" w:eastAsia="Arial" w:hAnsi="Arial"/>
                <w:b w:val="false"/>
                <w:bCs w:val="false"/>
                <w:i w:val="false"/>
                <w:iCs w:val="false"/>
                <w:color w:val="444444"/>
                <w:sz w:val="20"/>
                <w:szCs w:val="20"/>
              </w:rPr>
              <w:t xml:space="preserve">schätzungen. Politische Bezüge: offiziell nach Bundesbesoldungsgesetz.</w:t>
            </w:r>
          </w:p>
        </w:tc>
      </w:tr>
    </w:tbl>
    <w:p>
      <w:pPr>
        <w:spacing w:after="0" w:before="200"/>
      </w:pPr>
      <w:r>
        <w:rPr>
          <w:rFonts w:ascii="Arial" w:cs="Arial" w:eastAsia="Arial" w:hAnsi="Arial"/>
          <w:b w:val="false"/>
          <w:bCs w:val="false"/>
          <w:i w:val="false"/>
          <w:iCs w:val="false"/>
          <w:color w:val="333333"/>
          <w:sz w:val="22"/>
          <w:szCs w:val="22"/>
        </w:rPr>
        <w:t xml:space="preserve"/>
      </w:r>
    </w:p>
    <w:p>
      <w:pPr>
        <w:pStyle w:val="Heading1"/>
        <w:spacing w:after="160" w:before="480"/>
      </w:pPr>
      <w:r>
        <w:rPr>
          <w:rFonts w:ascii="Arial" w:cs="Arial" w:eastAsia="Arial" w:hAnsi="Arial"/>
          <w:b/>
          <w:bCs/>
          <w:i w:val="false"/>
          <w:iCs w:val="false"/>
          <w:color w:val="1A2F4A"/>
          <w:sz w:val="38"/>
          <w:szCs w:val="38"/>
        </w:rPr>
        <w:t xml:space="preserve">I. Die politische Ebene: Formale Macht, transparente Bezüge</w:t>
      </w:r>
    </w:p>
    <w:p>
      <w:pPr>
        <w:spacing w:after="120" w:before="80"/>
        <w:jc w:val="left"/>
      </w:pPr>
      <w:r>
        <w:rPr>
          <w:rFonts w:ascii="Arial" w:cs="Arial" w:eastAsia="Arial" w:hAnsi="Arial"/>
          <w:b w:val="false"/>
          <w:bCs w:val="false"/>
          <w:i w:val="false"/>
          <w:iCs w:val="false"/>
          <w:color w:val="333333"/>
          <w:sz w:val="22"/>
          <w:szCs w:val="22"/>
        </w:rPr>
        <w:t xml:space="preserve">Wer Macht hat, verdient viel — so lautet die verbreitete Annahme. Im deutschen politischen System stimmt das nur bedingt. Die Bezüge der politischen Spitze sind gesetzlich geregelt, öffentlich einsehbar und im internationalen Vergleich moderat.</w:t>
      </w:r>
    </w:p>
    <w:p>
      <w:pPr>
        <w:spacing w:after="0" w:before="120"/>
      </w:pPr>
      <w:r>
        <w:rPr>
          <w:rFonts w:ascii="Arial" w:cs="Arial" w:eastAsia="Arial" w:hAnsi="Arial"/>
          <w:b w:val="false"/>
          <w:bCs w:val="false"/>
          <w:i w:val="false"/>
          <w:iCs w:val="false"/>
          <w:color w:val="333333"/>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626"/>
      </w:tblGrid>
      <w:tr>
        <w:trPr>
          <w:tblHeader/>
        </w:trPr>
        <w:tc>
          <w:tcPr>
            <w:tcW w:type="dxa" w:w="3000"/>
            <w:tcBorders>
              <w:top w:val="single" w:color="CCCCCC" w:sz="1"/>
              <w:left w:val="single" w:color="CCCCCC" w:sz="1"/>
              <w:bottom w:val="single" w:color="CCCCCC" w:sz="1"/>
              <w:right w:val="single" w:color="CCCCCC" w:sz="1"/>
            </w:tcBorders>
            <w:shd w:fill="1A2F4A" w:val="clear"/>
            <w:tcMar>
              <w:top w:type="dxa" w:w="80"/>
              <w:left w:type="dxa" w:w="140"/>
              <w:bottom w:type="dxa" w:w="80"/>
              <w:right w:type="dxa" w:w="140"/>
            </w:tcMar>
          </w:tcPr>
          <w:p>
            <w:r>
              <w:rPr>
                <w:rFonts w:ascii="Arial" w:cs="Arial" w:eastAsia="Arial" w:hAnsi="Arial"/>
                <w:b/>
                <w:bCs/>
                <w:color w:val="FFFFFF"/>
                <w:sz w:val="19"/>
                <w:szCs w:val="19"/>
              </w:rPr>
              <w:t xml:space="preserve">Funktion</w:t>
            </w:r>
          </w:p>
        </w:tc>
        <w:tc>
          <w:tcPr>
            <w:tcW w:type="dxa" w:w="2200"/>
            <w:tcBorders>
              <w:top w:val="single" w:color="CCCCCC" w:sz="1"/>
              <w:left w:val="single" w:color="CCCCCC" w:sz="1"/>
              <w:bottom w:val="single" w:color="CCCCCC" w:sz="1"/>
              <w:right w:val="single" w:color="CCCCCC" w:sz="1"/>
            </w:tcBorders>
            <w:shd w:fill="1A2F4A" w:val="clear"/>
            <w:tcMar>
              <w:top w:type="dxa" w:w="80"/>
              <w:left w:type="dxa" w:w="140"/>
              <w:bottom w:type="dxa" w:w="80"/>
              <w:right w:type="dxa" w:w="140"/>
            </w:tcMar>
          </w:tcPr>
          <w:p>
            <w:r>
              <w:rPr>
                <w:rFonts w:ascii="Arial" w:cs="Arial" w:eastAsia="Arial" w:hAnsi="Arial"/>
                <w:b/>
                <w:bCs/>
                <w:color w:val="FFFFFF"/>
                <w:sz w:val="19"/>
                <w:szCs w:val="19"/>
              </w:rPr>
              <w:t xml:space="preserve">Jahresgehalt</w:t>
            </w:r>
          </w:p>
        </w:tc>
        <w:tc>
          <w:tcPr>
            <w:tcW w:type="dxa" w:w="2200"/>
            <w:tcBorders>
              <w:top w:val="single" w:color="CCCCCC" w:sz="1"/>
              <w:left w:val="single" w:color="CCCCCC" w:sz="1"/>
              <w:bottom w:val="single" w:color="CCCCCC" w:sz="1"/>
              <w:right w:val="single" w:color="CCCCCC" w:sz="1"/>
            </w:tcBorders>
            <w:shd w:fill="1A2F4A" w:val="clear"/>
            <w:tcMar>
              <w:top w:type="dxa" w:w="80"/>
              <w:left w:type="dxa" w:w="140"/>
              <w:bottom w:type="dxa" w:w="80"/>
              <w:right w:type="dxa" w:w="140"/>
            </w:tcMar>
          </w:tcPr>
          <w:p>
            <w:r>
              <w:rPr>
                <w:rFonts w:ascii="Arial" w:cs="Arial" w:eastAsia="Arial" w:hAnsi="Arial"/>
                <w:b/>
                <w:bCs/>
                <w:color w:val="FFFFFF"/>
                <w:sz w:val="19"/>
                <w:szCs w:val="19"/>
              </w:rPr>
              <w:t xml:space="preserve">Jahrespension</w:t>
            </w:r>
          </w:p>
        </w:tc>
        <w:tc>
          <w:tcPr>
            <w:tcW w:type="dxa" w:w="1626"/>
            <w:tcBorders>
              <w:top w:val="single" w:color="CCCCCC" w:sz="1"/>
              <w:left w:val="single" w:color="CCCCCC" w:sz="1"/>
              <w:bottom w:val="single" w:color="CCCCCC" w:sz="1"/>
              <w:right w:val="single" w:color="CCCCCC" w:sz="1"/>
            </w:tcBorders>
            <w:shd w:fill="1A2F4A" w:val="clear"/>
            <w:tcMar>
              <w:top w:type="dxa" w:w="80"/>
              <w:left w:type="dxa" w:w="140"/>
              <w:bottom w:type="dxa" w:w="80"/>
              <w:right w:type="dxa" w:w="140"/>
            </w:tcMar>
          </w:tcPr>
          <w:p>
            <w:r>
              <w:rPr>
                <w:rFonts w:ascii="Arial" w:cs="Arial" w:eastAsia="Arial" w:hAnsi="Arial"/>
                <w:b/>
                <w:bCs/>
                <w:color w:val="FFFFFF"/>
                <w:sz w:val="19"/>
                <w:szCs w:val="19"/>
              </w:rPr>
              <w:t xml:space="preserve">Besonderheit</w:t>
            </w:r>
          </w:p>
        </w:tc>
      </w:tr>
      <w:tr>
        <w:trPr>
          <w:tblHeader w:val="false"/>
        </w:trPr>
        <w:tc>
          <w:tcPr>
            <w:tcW w:type="dxa" w:w="3000"/>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Bundeskanzler</w:t>
            </w:r>
          </w:p>
        </w:tc>
        <w:tc>
          <w:tcPr>
            <w:tcW w:type="dxa" w:w="2200"/>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 360.000 €</w:t>
            </w:r>
          </w:p>
        </w:tc>
        <w:tc>
          <w:tcPr>
            <w:tcW w:type="dxa" w:w="2200"/>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bis 250.000 €</w:t>
            </w:r>
          </w:p>
        </w:tc>
        <w:tc>
          <w:tcPr>
            <w:tcW w:type="dxa" w:w="1626"/>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gesetzlich geregelt</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Bundesminister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 280.000 €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180.000–220.000 €</w:t>
            </w:r>
          </w:p>
        </w:tc>
        <w:tc>
          <w:tcPr>
            <w:tcW w:type="dxa" w:w="1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transparent</w:t>
            </w:r>
          </w:p>
        </w:tc>
      </w:tr>
      <w:tr>
        <w:trPr>
          <w:tblHeader w:val="false"/>
        </w:trPr>
        <w:tc>
          <w:tcPr>
            <w:tcW w:type="dxa" w:w="3000"/>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Staatsekretär</w:t>
            </w:r>
          </w:p>
        </w:tc>
        <w:tc>
          <w:tcPr>
            <w:tcW w:type="dxa" w:w="2200"/>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 220.000 €</w:t>
            </w:r>
          </w:p>
        </w:tc>
        <w:tc>
          <w:tcPr>
            <w:tcW w:type="dxa" w:w="2200"/>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120.000–160.000 €</w:t>
            </w:r>
          </w:p>
        </w:tc>
        <w:tc>
          <w:tcPr>
            <w:tcW w:type="dxa" w:w="1626"/>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transparent</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Bundestagsabgeordnete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 120.000 €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ca. 7.000 € / Monat</w:t>
            </w:r>
          </w:p>
        </w:tc>
        <w:tc>
          <w:tcPr>
            <w:tcW w:type="dxa" w:w="1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demokratisch legitimiert</w:t>
            </w:r>
          </w:p>
        </w:tc>
      </w:tr>
    </w:tbl>
    <w:p>
      <w:pPr>
        <w:spacing w:after="0" w:before="120"/>
      </w:pPr>
      <w:r>
        <w:rPr>
          <w:rFonts w:ascii="Arial" w:cs="Arial" w:eastAsia="Arial" w:hAnsi="Arial"/>
          <w:b w:val="false"/>
          <w:bCs w:val="false"/>
          <w:i w:val="false"/>
          <w:iCs w:val="false"/>
          <w:color w:val="333333"/>
          <w:sz w:val="22"/>
          <w:szCs w:val="22"/>
        </w:rPr>
        <w:t xml:space="preserve"/>
      </w:r>
    </w:p>
    <w:p>
      <w:pPr>
        <w:spacing w:after="120" w:before="80"/>
        <w:jc w:val="left"/>
      </w:pPr>
      <w:r>
        <w:rPr>
          <w:rFonts w:ascii="Arial" w:cs="Arial" w:eastAsia="Arial" w:hAnsi="Arial"/>
          <w:b w:val="false"/>
          <w:bCs w:val="false"/>
          <w:i/>
          <w:iCs/>
          <w:color w:val="888888"/>
          <w:sz w:val="22"/>
          <w:szCs w:val="22"/>
        </w:rPr>
        <w:t xml:space="preserve">Das entscheidende Merkmal: Jeder dieser Beträge ist öffentlich, gesetzlich geregelt und demokratisch legitimiert. Politiker werden gewählt, können abgewählt werden und stehen unter permanenter Öffentlichkeitskontrolle.</w:t>
      </w:r>
    </w:p>
    <w:p>
      <w:pPr>
        <w:spacing w:after="0" w:before="200"/>
      </w:pPr>
      <w:r>
        <w:rPr>
          <w:rFonts w:ascii="Arial" w:cs="Arial" w:eastAsia="Arial" w:hAnsi="Arial"/>
          <w:b w:val="false"/>
          <w:bCs w:val="false"/>
          <w:i w:val="false"/>
          <w:iCs w:val="false"/>
          <w:color w:val="333333"/>
          <w:sz w:val="22"/>
          <w:szCs w:val="22"/>
        </w:rPr>
        <w:t xml:space="preserve"/>
      </w:r>
    </w:p>
    <w:p>
      <w:pPr>
        <w:pStyle w:val="Heading1"/>
        <w:spacing w:after="160" w:before="480"/>
      </w:pPr>
      <w:r>
        <w:rPr>
          <w:rFonts w:ascii="Arial" w:cs="Arial" w:eastAsia="Arial" w:hAnsi="Arial"/>
          <w:b/>
          <w:bCs/>
          <w:i w:val="false"/>
          <w:iCs w:val="false"/>
          <w:color w:val="1A2F4A"/>
          <w:sz w:val="38"/>
          <w:szCs w:val="38"/>
        </w:rPr>
        <w:t xml:space="preserve">II. Die Intendanten: Strukturelle Macht, hohe Bezüge</w:t>
      </w:r>
    </w:p>
    <w:p>
      <w:pPr>
        <w:spacing w:after="120" w:before="80"/>
        <w:jc w:val="left"/>
      </w:pPr>
      <w:r>
        <w:rPr>
          <w:rFonts w:ascii="Arial" w:cs="Arial" w:eastAsia="Arial" w:hAnsi="Arial"/>
          <w:b w:val="false"/>
          <w:bCs w:val="false"/>
          <w:i w:val="false"/>
          <w:iCs w:val="false"/>
          <w:color w:val="333333"/>
          <w:sz w:val="22"/>
          <w:szCs w:val="22"/>
        </w:rPr>
        <w:t xml:space="preserve">Intendanten leiten Institutionen, die täglich Millionen Menschen erreichen. Sie kontrollieren Milliarden-Budgets, entscheiden über Personal und prägen die strategische Ausrichtung ganzer Sender. Ihre Bezüge übersteigen die ministerialer Funktionen — bei deutlich geringerer demokratischer Kontrolle.</w:t>
      </w:r>
    </w:p>
    <w:p>
      <w:pPr>
        <w:spacing w:after="0" w:before="120"/>
      </w:pPr>
      <w:r>
        <w:rPr>
          <w:rFonts w:ascii="Arial" w:cs="Arial" w:eastAsia="Arial" w:hAnsi="Arial"/>
          <w:b w:val="false"/>
          <w:bCs w:val="false"/>
          <w:i w:val="false"/>
          <w:iCs w:val="false"/>
          <w:color w:val="333333"/>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226"/>
      </w:tblGrid>
      <w:tr>
        <w:trPr>
          <w:tblHeader/>
        </w:trPr>
        <w:tc>
          <w:tcPr>
            <w:tcW w:type="dxa" w:w="2800"/>
            <w:tcBorders>
              <w:top w:val="single" w:color="CCCCCC" w:sz="1"/>
              <w:left w:val="single" w:color="CCCCCC" w:sz="1"/>
              <w:bottom w:val="single" w:color="CCCCCC" w:sz="1"/>
              <w:right w:val="single" w:color="CCCCCC" w:sz="1"/>
            </w:tcBorders>
            <w:shd w:fill="1A2F4A" w:val="clear"/>
            <w:tcMar>
              <w:top w:type="dxa" w:w="80"/>
              <w:left w:type="dxa" w:w="140"/>
              <w:bottom w:type="dxa" w:w="80"/>
              <w:right w:type="dxa" w:w="140"/>
            </w:tcMar>
          </w:tcPr>
          <w:p>
            <w:r>
              <w:rPr>
                <w:rFonts w:ascii="Arial" w:cs="Arial" w:eastAsia="Arial" w:hAnsi="Arial"/>
                <w:b/>
                <w:bCs/>
                <w:color w:val="FFFFFF"/>
                <w:sz w:val="19"/>
                <w:szCs w:val="19"/>
              </w:rPr>
              <w:t xml:space="preserve">Intendant / Anstalt</w:t>
            </w:r>
          </w:p>
        </w:tc>
        <w:tc>
          <w:tcPr>
            <w:tcW w:type="dxa" w:w="2000"/>
            <w:tcBorders>
              <w:top w:val="single" w:color="CCCCCC" w:sz="1"/>
              <w:left w:val="single" w:color="CCCCCC" w:sz="1"/>
              <w:bottom w:val="single" w:color="CCCCCC" w:sz="1"/>
              <w:right w:val="single" w:color="CCCCCC" w:sz="1"/>
            </w:tcBorders>
            <w:shd w:fill="1A2F4A" w:val="clear"/>
            <w:tcMar>
              <w:top w:type="dxa" w:w="80"/>
              <w:left w:type="dxa" w:w="140"/>
              <w:bottom w:type="dxa" w:w="80"/>
              <w:right w:type="dxa" w:w="140"/>
            </w:tcMar>
          </w:tcPr>
          <w:p>
            <w:r>
              <w:rPr>
                <w:rFonts w:ascii="Arial" w:cs="Arial" w:eastAsia="Arial" w:hAnsi="Arial"/>
                <w:b/>
                <w:bCs/>
                <w:color w:val="FFFFFF"/>
                <w:sz w:val="19"/>
                <w:szCs w:val="19"/>
              </w:rPr>
              <w:t xml:space="preserve">Jahresgehalt</w:t>
            </w:r>
          </w:p>
        </w:tc>
        <w:tc>
          <w:tcPr>
            <w:tcW w:type="dxa" w:w="2000"/>
            <w:tcBorders>
              <w:top w:val="single" w:color="CCCCCC" w:sz="1"/>
              <w:left w:val="single" w:color="CCCCCC" w:sz="1"/>
              <w:bottom w:val="single" w:color="CCCCCC" w:sz="1"/>
              <w:right w:val="single" w:color="CCCCCC" w:sz="1"/>
            </w:tcBorders>
            <w:shd w:fill="1A2F4A" w:val="clear"/>
            <w:tcMar>
              <w:top w:type="dxa" w:w="80"/>
              <w:left w:type="dxa" w:w="140"/>
              <w:bottom w:type="dxa" w:w="80"/>
              <w:right w:type="dxa" w:w="140"/>
            </w:tcMar>
          </w:tcPr>
          <w:p>
            <w:r>
              <w:rPr>
                <w:rFonts w:ascii="Arial" w:cs="Arial" w:eastAsia="Arial" w:hAnsi="Arial"/>
                <w:b/>
                <w:bCs/>
                <w:color w:val="FFFFFF"/>
                <w:sz w:val="19"/>
                <w:szCs w:val="19"/>
              </w:rPr>
              <w:t xml:space="preserve">Jahrespension (Schätzung)</w:t>
            </w:r>
          </w:p>
        </w:tc>
        <w:tc>
          <w:tcPr>
            <w:tcW w:type="dxa" w:w="2226"/>
            <w:tcBorders>
              <w:top w:val="single" w:color="CCCCCC" w:sz="1"/>
              <w:left w:val="single" w:color="CCCCCC" w:sz="1"/>
              <w:bottom w:val="single" w:color="CCCCCC" w:sz="1"/>
              <w:right w:val="single" w:color="CCCCCC" w:sz="1"/>
            </w:tcBorders>
            <w:shd w:fill="1A2F4A" w:val="clear"/>
            <w:tcMar>
              <w:top w:type="dxa" w:w="80"/>
              <w:left w:type="dxa" w:w="140"/>
              <w:bottom w:type="dxa" w:w="80"/>
              <w:right w:type="dxa" w:w="140"/>
            </w:tcMar>
          </w:tcPr>
          <w:p>
            <w:r>
              <w:rPr>
                <w:rFonts w:ascii="Arial" w:cs="Arial" w:eastAsia="Arial" w:hAnsi="Arial"/>
                <w:b/>
                <w:bCs/>
                <w:color w:val="FFFFFF"/>
                <w:sz w:val="19"/>
                <w:szCs w:val="19"/>
              </w:rPr>
              <w:t xml:space="preserve">Kontrollstruktur</w:t>
            </w:r>
          </w:p>
        </w:tc>
      </w:tr>
      <w:tr>
        <w:trPr>
          <w:tblHeader w:val="false"/>
        </w:trPr>
        <w:tc>
          <w:tcPr>
            <w:tcW w:type="dxa" w:w="2800"/>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Tom Buhrow (WDR)</w:t>
            </w:r>
          </w:p>
        </w:tc>
        <w:tc>
          <w:tcPr>
            <w:tcW w:type="dxa" w:w="2000"/>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 413.000 €</w:t>
            </w:r>
          </w:p>
        </w:tc>
        <w:tc>
          <w:tcPr>
            <w:tcW w:type="dxa" w:w="2000"/>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120.000–180.000 €</w:t>
            </w:r>
          </w:p>
        </w:tc>
        <w:tc>
          <w:tcPr>
            <w:tcW w:type="dxa" w:w="2226"/>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Rundfunkrat (pol. besetzt)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Norbert Himmler (ZDF)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 372.000 €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100.000–160.000 €</w:t>
            </w:r>
          </w:p>
        </w:tc>
        <w:tc>
          <w:tcPr>
            <w:tcW w:type="dxa" w:w="2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Fernsehrat (pol. besetzt)</w:t>
            </w:r>
          </w:p>
        </w:tc>
      </w:tr>
      <w:tr>
        <w:trPr>
          <w:tblHeader w:val="false"/>
        </w:trPr>
        <w:tc>
          <w:tcPr>
            <w:tcW w:type="dxa" w:w="2800"/>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Kai Gniffke (SWR)</w:t>
            </w:r>
          </w:p>
        </w:tc>
        <w:tc>
          <w:tcPr>
            <w:tcW w:type="dxa" w:w="2000"/>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 361.000 €</w:t>
            </w:r>
          </w:p>
        </w:tc>
        <w:tc>
          <w:tcPr>
            <w:tcW w:type="dxa" w:w="2000"/>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100.000–150.000 €</w:t>
            </w:r>
          </w:p>
        </w:tc>
        <w:tc>
          <w:tcPr>
            <w:tcW w:type="dxa" w:w="2226"/>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Rundfunkrat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Katja Wildermuth (BR)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 340.000 €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100.000–150.000 €</w:t>
            </w:r>
          </w:p>
        </w:tc>
        <w:tc>
          <w:tcPr>
            <w:tcW w:type="dxa" w:w="2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Rundfunkrat</w:t>
            </w:r>
          </w:p>
        </w:tc>
      </w:tr>
      <w:tr>
        <w:trPr>
          <w:tblHeader w:val="false"/>
        </w:trPr>
        <w:tc>
          <w:tcPr>
            <w:tcW w:type="dxa" w:w="2800"/>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Joachim Knuth (NDR)</w:t>
            </w:r>
          </w:p>
        </w:tc>
        <w:tc>
          <w:tcPr>
            <w:tcW w:type="dxa" w:w="2000"/>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 346.000 €</w:t>
            </w:r>
          </w:p>
        </w:tc>
        <w:tc>
          <w:tcPr>
            <w:tcW w:type="dxa" w:w="2000"/>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100.000–150.000 €</w:t>
            </w:r>
          </w:p>
        </w:tc>
        <w:tc>
          <w:tcPr>
            <w:tcW w:type="dxa" w:w="2226"/>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Rundfunkrat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P. Schlesinger (RBB,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 303.000 € + Boni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 180.000 € / Jahr</w:t>
            </w:r>
          </w:p>
        </w:tc>
        <w:tc>
          <w:tcPr>
            <w:tcW w:type="dxa" w:w="2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nicht extern geprüft</w:t>
            </w:r>
          </w:p>
        </w:tc>
      </w:tr>
    </w:tbl>
    <w:p>
      <w:pPr>
        <w:spacing w:after="0" w:before="120"/>
      </w:pPr>
      <w:r>
        <w:rPr>
          <w:rFonts w:ascii="Arial" w:cs="Arial" w:eastAsia="Arial" w:hAnsi="Arial"/>
          <w:b w:val="false"/>
          <w:bCs w:val="false"/>
          <w:i w:val="false"/>
          <w:iCs w:val="false"/>
          <w:color w:val="333333"/>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color="FFFFFF" w:sz="0"/>
              <w:left w:val="none" w:color="FFFFFF" w:sz="0"/>
              <w:bottom w:val="none" w:color="FFFFFF" w:sz="0"/>
              <w:right w:val="none" w:color="FFFFFF" w:sz="0"/>
            </w:tcBorders>
            <w:shd w:fill="2E5C8A" w:val="clear"/>
          </w:tcPr>
          <w:p>
            <w:pPr>
              <w:spacing w:after="120" w:before="80"/>
              <w:jc w:val="left"/>
            </w:pPr>
            <w:r>
              <w:rPr>
                <w:rFonts w:ascii="Arial" w:cs="Arial" w:eastAsia="Arial" w:hAnsi="Arial"/>
                <w:b w:val="false"/>
                <w:bCs w:val="false"/>
                <w:i w:val="false"/>
                <w:iCs w:val="false"/>
                <w:color w:val="333333"/>
                <w:sz w:val="22"/>
                <w:szCs w:val="22"/>
              </w:rPr>
              <w:t xml:space="preserve"/>
            </w:r>
          </w:p>
        </w:tc>
        <w:tc>
          <w:tcPr>
            <w:tcW w:type="dxa" w:w="8826"/>
            <w:tcBorders>
              <w:top w:val="none" w:color="FFFFFF" w:sz="0"/>
              <w:left w:val="none" w:color="FFFFFF" w:sz="0"/>
              <w:bottom w:val="none" w:color="FFFFFF" w:sz="0"/>
              <w:right w:val="none" w:color="FFFFFF" w:sz="0"/>
            </w:tcBorders>
            <w:shd w:fill="F2F5F8" w:val="clear"/>
            <w:tcMar>
              <w:top w:type="dxa" w:w="140"/>
              <w:left w:type="dxa" w:w="240"/>
              <w:bottom w:type="dxa" w:w="140"/>
              <w:right w:type="dxa" w:w="240"/>
            </w:tcMar>
          </w:tcPr>
          <w:p>
            <w:pPr>
              <w:spacing w:after="80" w:before="0"/>
            </w:pPr>
            <w:r>
              <w:rPr>
                <w:rFonts w:ascii="Arial" w:cs="Arial" w:eastAsia="Arial" w:hAnsi="Arial"/>
                <w:b w:val="false"/>
                <w:bCs w:val="false"/>
                <w:i/>
                <w:iCs/>
                <w:color w:val="333333"/>
                <w:sz w:val="23"/>
                <w:szCs w:val="23"/>
              </w:rPr>
              <w:t xml:space="preserve">'Intendanten verdienen mehr als Minister — und werden nicht gewählt."</w:t>
            </w:r>
          </w:p>
          <w:p>
            <w:pPr>
              <w:spacing w:after="0" w:before="0"/>
            </w:pPr>
            <w:r>
              <w:rPr>
                <w:rFonts w:ascii="Arial" w:cs="Arial" w:eastAsia="Arial" w:hAnsi="Arial"/>
                <w:b w:val="false"/>
                <w:bCs w:val="false"/>
                <w:i w:val="false"/>
                <w:iCs w:val="false"/>
                <w:color w:val="888888"/>
                <w:sz w:val="18"/>
                <w:szCs w:val="18"/>
              </w:rPr>
              <w:t xml:space="preserve">Analyse rundfunkkritik.de</w:t>
            </w:r>
          </w:p>
        </w:tc>
      </w:tr>
    </w:tbl>
    <w:p>
      <w:pPr>
        <w:spacing w:after="0" w:before="200"/>
      </w:pPr>
      <w:r>
        <w:rPr>
          <w:rFonts w:ascii="Arial" w:cs="Arial" w:eastAsia="Arial" w:hAnsi="Arial"/>
          <w:b w:val="false"/>
          <w:bCs w:val="false"/>
          <w:i w:val="false"/>
          <w:iCs w:val="false"/>
          <w:color w:val="333333"/>
          <w:sz w:val="22"/>
          <w:szCs w:val="22"/>
        </w:rPr>
        <w:t xml:space="preserve"/>
      </w:r>
    </w:p>
    <w:p>
      <w:r>
        <w:br/>
      </w:r>
    </w:p>
    <w:p>
      <w:pPr>
        <w:pStyle w:val="Heading1"/>
        <w:spacing w:after="160" w:before="480"/>
      </w:pPr>
      <w:r>
        <w:rPr>
          <w:rFonts w:ascii="Arial" w:cs="Arial" w:eastAsia="Arial" w:hAnsi="Arial"/>
          <w:b/>
          <w:bCs/>
          <w:i w:val="false"/>
          <w:iCs w:val="false"/>
          <w:color w:val="1A2F4A"/>
          <w:sz w:val="38"/>
          <w:szCs w:val="38"/>
        </w:rPr>
        <w:t xml:space="preserve">III. Die unsichtbaren Entscheider: Programm-Architekten</w:t>
      </w:r>
    </w:p>
    <w:p>
      <w:pPr>
        <w:spacing w:after="120" w:before="80"/>
        <w:jc w:val="left"/>
      </w:pPr>
      <w:r>
        <w:rPr>
          <w:rFonts w:ascii="Arial" w:cs="Arial" w:eastAsia="Arial" w:hAnsi="Arial"/>
          <w:b w:val="false"/>
          <w:bCs w:val="false"/>
          <w:i w:val="false"/>
          <w:iCs w:val="false"/>
          <w:color w:val="333333"/>
          <w:sz w:val="22"/>
          <w:szCs w:val="22"/>
        </w:rPr>
        <w:t xml:space="preserve">Sie entscheiden täglich, welche Themen laufen, welche Experten sprechen, welche Bilder gezeigt werden und welche Perspektiven fehlen. Ihr Name steht selten in der Zeitung. Ihre Macht ist operativ, täglich und direkt.</w:t>
      </w:r>
    </w:p>
    <w:p>
      <w:pPr>
        <w:spacing w:after="0" w:before="120"/>
      </w:pPr>
      <w:r>
        <w:rPr>
          <w:rFonts w:ascii="Arial" w:cs="Arial" w:eastAsia="Arial" w:hAnsi="Arial"/>
          <w:b w:val="false"/>
          <w:bCs w:val="false"/>
          <w:i w:val="false"/>
          <w:iCs w:val="false"/>
          <w:color w:val="333333"/>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900"/>
        <w:gridCol w:w="2326"/>
      </w:tblGrid>
      <w:tr>
        <w:trPr>
          <w:tblHeader/>
        </w:trPr>
        <w:tc>
          <w:tcPr>
            <w:tcW w:type="dxa" w:w="2800"/>
            <w:tcBorders>
              <w:top w:val="single" w:color="CCCCCC" w:sz="1"/>
              <w:left w:val="single" w:color="CCCCCC" w:sz="1"/>
              <w:bottom w:val="single" w:color="CCCCCC" w:sz="1"/>
              <w:right w:val="single" w:color="CCCCCC" w:sz="1"/>
            </w:tcBorders>
            <w:shd w:fill="1A2F4A" w:val="clear"/>
            <w:tcMar>
              <w:top w:type="dxa" w:w="80"/>
              <w:left w:type="dxa" w:w="140"/>
              <w:bottom w:type="dxa" w:w="80"/>
              <w:right w:type="dxa" w:w="140"/>
            </w:tcMar>
          </w:tcPr>
          <w:p>
            <w:r>
              <w:rPr>
                <w:rFonts w:ascii="Arial" w:cs="Arial" w:eastAsia="Arial" w:hAnsi="Arial"/>
                <w:b/>
                <w:bCs/>
                <w:color w:val="FFFFFF"/>
                <w:sz w:val="19"/>
                <w:szCs w:val="19"/>
              </w:rPr>
              <w:t xml:space="preserve">Funktion</w:t>
            </w:r>
          </w:p>
        </w:tc>
        <w:tc>
          <w:tcPr>
            <w:tcW w:type="dxa" w:w="2000"/>
            <w:tcBorders>
              <w:top w:val="single" w:color="CCCCCC" w:sz="1"/>
              <w:left w:val="single" w:color="CCCCCC" w:sz="1"/>
              <w:bottom w:val="single" w:color="CCCCCC" w:sz="1"/>
              <w:right w:val="single" w:color="CCCCCC" w:sz="1"/>
            </w:tcBorders>
            <w:shd w:fill="1A2F4A" w:val="clear"/>
            <w:tcMar>
              <w:top w:type="dxa" w:w="80"/>
              <w:left w:type="dxa" w:w="140"/>
              <w:bottom w:type="dxa" w:w="80"/>
              <w:right w:type="dxa" w:w="140"/>
            </w:tcMar>
          </w:tcPr>
          <w:p>
            <w:r>
              <w:rPr>
                <w:rFonts w:ascii="Arial" w:cs="Arial" w:eastAsia="Arial" w:hAnsi="Arial"/>
                <w:b/>
                <w:bCs/>
                <w:color w:val="FFFFFF"/>
                <w:sz w:val="19"/>
                <w:szCs w:val="19"/>
              </w:rPr>
              <w:t xml:space="preserve">Jahresgehalt</w:t>
            </w:r>
          </w:p>
        </w:tc>
        <w:tc>
          <w:tcPr>
            <w:tcW w:type="dxa" w:w="1900"/>
            <w:tcBorders>
              <w:top w:val="single" w:color="CCCCCC" w:sz="1"/>
              <w:left w:val="single" w:color="CCCCCC" w:sz="1"/>
              <w:bottom w:val="single" w:color="CCCCCC" w:sz="1"/>
              <w:right w:val="single" w:color="CCCCCC" w:sz="1"/>
            </w:tcBorders>
            <w:shd w:fill="1A2F4A" w:val="clear"/>
            <w:tcMar>
              <w:top w:type="dxa" w:w="80"/>
              <w:left w:type="dxa" w:w="140"/>
              <w:bottom w:type="dxa" w:w="80"/>
              <w:right w:type="dxa" w:w="140"/>
            </w:tcMar>
          </w:tcPr>
          <w:p>
            <w:r>
              <w:rPr>
                <w:rFonts w:ascii="Arial" w:cs="Arial" w:eastAsia="Arial" w:hAnsi="Arial"/>
                <w:b/>
                <w:bCs/>
                <w:color w:val="FFFFFF"/>
                <w:sz w:val="19"/>
                <w:szCs w:val="19"/>
              </w:rPr>
              <w:t xml:space="preserve">Pension/Jahr</w:t>
            </w:r>
          </w:p>
        </w:tc>
        <w:tc>
          <w:tcPr>
            <w:tcW w:type="dxa" w:w="2326"/>
            <w:tcBorders>
              <w:top w:val="single" w:color="CCCCCC" w:sz="1"/>
              <w:left w:val="single" w:color="CCCCCC" w:sz="1"/>
              <w:bottom w:val="single" w:color="CCCCCC" w:sz="1"/>
              <w:right w:val="single" w:color="CCCCCC" w:sz="1"/>
            </w:tcBorders>
            <w:shd w:fill="1A2F4A" w:val="clear"/>
            <w:tcMar>
              <w:top w:type="dxa" w:w="80"/>
              <w:left w:type="dxa" w:w="140"/>
              <w:bottom w:type="dxa" w:w="80"/>
              <w:right w:type="dxa" w:w="140"/>
            </w:tcMar>
          </w:tcPr>
          <w:p>
            <w:r>
              <w:rPr>
                <w:rFonts w:ascii="Arial" w:cs="Arial" w:eastAsia="Arial" w:hAnsi="Arial"/>
                <w:b/>
                <w:bCs/>
                <w:color w:val="FFFFFF"/>
                <w:sz w:val="19"/>
                <w:szCs w:val="19"/>
              </w:rPr>
              <w:t xml:space="preserve">Machtbereich</w:t>
            </w:r>
          </w:p>
        </w:tc>
      </w:tr>
      <w:tr>
        <w:trPr>
          <w:tblHeader w:val="false"/>
        </w:trPr>
        <w:tc>
          <w:tcPr>
            <w:tcW w:type="dxa" w:w="2800"/>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Programmdirektor</w:t>
            </w:r>
          </w:p>
        </w:tc>
        <w:tc>
          <w:tcPr>
            <w:tcW w:type="dxa" w:w="2000"/>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250.000–300.000 €</w:t>
            </w:r>
          </w:p>
        </w:tc>
        <w:tc>
          <w:tcPr>
            <w:tcW w:type="dxa" w:w="1900"/>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80.000–120.000 €</w:t>
            </w:r>
          </w:p>
        </w:tc>
        <w:tc>
          <w:tcPr>
            <w:tcW w:type="dxa" w:w="2326"/>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Strategische Sendepolitik</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Chefredakteur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180.000–250.000 €</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60.000–90.000 €</w:t>
            </w:r>
          </w:p>
        </w:tc>
        <w:tc>
          <w:tcPr>
            <w:tcW w:type="dxa" w:w="23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Nachrichtenagenda</w:t>
            </w:r>
          </w:p>
        </w:tc>
      </w:tr>
      <w:tr>
        <w:trPr>
          <w:tblHeader w:val="false"/>
        </w:trPr>
        <w:tc>
          <w:tcPr>
            <w:tcW w:type="dxa" w:w="2800"/>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Chef vom Dienst (CvD)</w:t>
            </w:r>
          </w:p>
        </w:tc>
        <w:tc>
          <w:tcPr>
            <w:tcW w:type="dxa" w:w="2000"/>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90.000–150.000 €</w:t>
            </w:r>
          </w:p>
        </w:tc>
        <w:tc>
          <w:tcPr>
            <w:tcW w:type="dxa" w:w="1900"/>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30.000–50.000 €</w:t>
            </w:r>
          </w:p>
        </w:tc>
        <w:tc>
          <w:tcPr>
            <w:tcW w:type="dxa" w:w="2326"/>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Tägliche Themenauswahl</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Leitender Redakteur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70.000–120.000 €</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25.000–40.000 €</w:t>
            </w:r>
          </w:p>
        </w:tc>
        <w:tc>
          <w:tcPr>
            <w:tcW w:type="dxa" w:w="23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Ressort-Agenda</w:t>
            </w:r>
          </w:p>
        </w:tc>
      </w:tr>
    </w:tbl>
    <w:p>
      <w:pPr>
        <w:spacing w:after="0" w:before="120"/>
      </w:pPr>
      <w:r>
        <w:rPr>
          <w:rFonts w:ascii="Arial" w:cs="Arial" w:eastAsia="Arial" w:hAnsi="Arial"/>
          <w:b w:val="false"/>
          <w:bCs w:val="false"/>
          <w:i w:val="false"/>
          <w:iCs w:val="false"/>
          <w:color w:val="333333"/>
          <w:sz w:val="22"/>
          <w:szCs w:val="22"/>
        </w:rPr>
        <w:t xml:space="preserve"/>
      </w:r>
    </w:p>
    <w:p>
      <w:pPr>
        <w:spacing w:after="120" w:before="80"/>
        <w:jc w:val="left"/>
      </w:pPr>
      <w:r>
        <w:rPr>
          <w:rFonts w:ascii="Arial" w:cs="Arial" w:eastAsia="Arial" w:hAnsi="Arial"/>
          <w:b w:val="false"/>
          <w:bCs w:val="false"/>
          <w:i/>
          <w:iCs/>
          <w:color w:val="888888"/>
          <w:sz w:val="22"/>
          <w:szCs w:val="22"/>
        </w:rPr>
        <w:t xml:space="preserve">Diese Gruppe ist kaum sichtbar — aber sie ist es, die entscheidet, welche Realität täglich vermittelt wird. Keine dieser Funktionen ist demokratisch gewählt. Keine unterliegt einer externen Transparenzpflicht.</w:t>
      </w:r>
    </w:p>
    <w:p>
      <w:pPr>
        <w:spacing w:after="0" w:before="200"/>
      </w:pPr>
      <w:r>
        <w:rPr>
          <w:rFonts w:ascii="Arial" w:cs="Arial" w:eastAsia="Arial" w:hAnsi="Arial"/>
          <w:b w:val="false"/>
          <w:bCs w:val="false"/>
          <w:i w:val="false"/>
          <w:iCs w:val="false"/>
          <w:color w:val="333333"/>
          <w:sz w:val="22"/>
          <w:szCs w:val="22"/>
        </w:rPr>
        <w:t xml:space="preserve"/>
      </w:r>
    </w:p>
    <w:p>
      <w:pPr>
        <w:pStyle w:val="Heading1"/>
        <w:spacing w:after="160" w:before="480"/>
      </w:pPr>
      <w:r>
        <w:rPr>
          <w:rFonts w:ascii="Arial" w:cs="Arial" w:eastAsia="Arial" w:hAnsi="Arial"/>
          <w:b/>
          <w:bCs/>
          <w:i w:val="false"/>
          <w:iCs w:val="false"/>
          <w:color w:val="1A2F4A"/>
          <w:sz w:val="38"/>
          <w:szCs w:val="38"/>
        </w:rPr>
        <w:t xml:space="preserve">IV. Die Moderatoren: Sichtbare Macht, sehr hohe Honorare</w:t>
      </w:r>
    </w:p>
    <w:p>
      <w:pPr>
        <w:spacing w:after="120" w:before="80"/>
        <w:jc w:val="left"/>
      </w:pPr>
      <w:r>
        <w:rPr>
          <w:rFonts w:ascii="Arial" w:cs="Arial" w:eastAsia="Arial" w:hAnsi="Arial"/>
          <w:b w:val="false"/>
          <w:bCs w:val="false"/>
          <w:i w:val="false"/>
          <w:iCs w:val="false"/>
          <w:color w:val="333333"/>
          <w:sz w:val="22"/>
          <w:szCs w:val="22"/>
        </w:rPr>
        <w:t xml:space="preserve">Moderatoren sind die Gesichter des Systems. Sie genießen Vertrauen, prägen Debatten und erreichen täglich Millionen. Viele sind nicht angestellt, sondern als freie Mitarbeiter tätig — mit entsprechend höheren Honoraren und eigenen Produktionsfirmen.</w:t>
      </w:r>
    </w:p>
    <w:p>
      <w:pPr>
        <w:spacing w:after="0" w:before="120"/>
      </w:pPr>
      <w:r>
        <w:rPr>
          <w:rFonts w:ascii="Arial" w:cs="Arial" w:eastAsia="Arial" w:hAnsi="Arial"/>
          <w:b w:val="false"/>
          <w:bCs w:val="false"/>
          <w:i w:val="false"/>
          <w:iCs w:val="false"/>
          <w:color w:val="333333"/>
          <w:sz w:val="22"/>
          <w:szCs w:val="22"/>
        </w:rPr>
        <w:t xml:space="preserve"/>
      </w:r>
    </w:p>
    <w:p>
      <w:pPr>
        <w:spacing w:after="120" w:before="80"/>
        <w:jc w:val="left"/>
      </w:pPr>
      <w:r>
        <w:rPr>
          <w:rFonts w:ascii="Arial" w:cs="Arial" w:eastAsia="Arial" w:hAnsi="Arial"/>
          <w:b w:val="false"/>
          <w:bCs w:val="false"/>
          <w:i w:val="false"/>
          <w:iCs w:val="false"/>
          <w:color w:val="333333"/>
          <w:sz w:val="22"/>
          <w:szCs w:val="22"/>
        </w:rPr>
        <w:t xml:space="preserve">ZDF — bestätigte Zahlen aus geleakter Liste (Welt am Sonntag, 2024):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626"/>
      </w:tblGrid>
      <w:tr>
        <w:trPr>
          <w:tblHeader/>
        </w:trPr>
        <w:tc>
          <w:tcPr>
            <w:tcW w:type="dxa" w:w="2600"/>
            <w:tcBorders>
              <w:top w:val="single" w:color="CCCCCC" w:sz="1"/>
              <w:left w:val="single" w:color="CCCCCC" w:sz="1"/>
              <w:bottom w:val="single" w:color="CCCCCC" w:sz="1"/>
              <w:right w:val="single" w:color="CCCCCC" w:sz="1"/>
            </w:tcBorders>
            <w:shd w:fill="1A2F4A" w:val="clear"/>
            <w:tcMar>
              <w:top w:type="dxa" w:w="80"/>
              <w:left w:type="dxa" w:w="140"/>
              <w:bottom w:type="dxa" w:w="80"/>
              <w:right w:type="dxa" w:w="140"/>
            </w:tcMar>
          </w:tcPr>
          <w:p>
            <w:r>
              <w:rPr>
                <w:rFonts w:ascii="Arial" w:cs="Arial" w:eastAsia="Arial" w:hAnsi="Arial"/>
                <w:b/>
                <w:bCs/>
                <w:color w:val="FFFFFF"/>
                <w:sz w:val="19"/>
                <w:szCs w:val="19"/>
              </w:rPr>
              <w:t xml:space="preserve">Name</w:t>
            </w:r>
          </w:p>
        </w:tc>
        <w:tc>
          <w:tcPr>
            <w:tcW w:type="dxa" w:w="1800"/>
            <w:tcBorders>
              <w:top w:val="single" w:color="CCCCCC" w:sz="1"/>
              <w:left w:val="single" w:color="CCCCCC" w:sz="1"/>
              <w:bottom w:val="single" w:color="CCCCCC" w:sz="1"/>
              <w:right w:val="single" w:color="CCCCCC" w:sz="1"/>
            </w:tcBorders>
            <w:shd w:fill="1A2F4A" w:val="clear"/>
            <w:tcMar>
              <w:top w:type="dxa" w:w="80"/>
              <w:left w:type="dxa" w:w="140"/>
              <w:bottom w:type="dxa" w:w="80"/>
              <w:right w:type="dxa" w:w="140"/>
            </w:tcMar>
          </w:tcPr>
          <w:p>
            <w:r>
              <w:rPr>
                <w:rFonts w:ascii="Arial" w:cs="Arial" w:eastAsia="Arial" w:hAnsi="Arial"/>
                <w:b/>
                <w:bCs/>
                <w:color w:val="FFFFFF"/>
                <w:sz w:val="19"/>
                <w:szCs w:val="19"/>
              </w:rPr>
              <w:t xml:space="preserve">Honorar / Jahr</w:t>
            </w:r>
          </w:p>
        </w:tc>
        <w:tc>
          <w:tcPr>
            <w:tcW w:type="dxa" w:w="4626"/>
            <w:tcBorders>
              <w:top w:val="single" w:color="CCCCCC" w:sz="1"/>
              <w:left w:val="single" w:color="CCCCCC" w:sz="1"/>
              <w:bottom w:val="single" w:color="CCCCCC" w:sz="1"/>
              <w:right w:val="single" w:color="CCCCCC" w:sz="1"/>
            </w:tcBorders>
            <w:shd w:fill="1A2F4A" w:val="clear"/>
            <w:tcMar>
              <w:top w:type="dxa" w:w="80"/>
              <w:left w:type="dxa" w:w="140"/>
              <w:bottom w:type="dxa" w:w="80"/>
              <w:right w:type="dxa" w:w="140"/>
            </w:tcMar>
          </w:tcPr>
          <w:p>
            <w:r>
              <w:rPr>
                <w:rFonts w:ascii="Arial" w:cs="Arial" w:eastAsia="Arial" w:hAnsi="Arial"/>
                <w:b/>
                <w:bCs/>
                <w:color w:val="FFFFFF"/>
                <w:sz w:val="19"/>
                <w:szCs w:val="19"/>
              </w:rPr>
              <w:t xml:space="preserve">Format / Funktion</w:t>
            </w:r>
          </w:p>
        </w:tc>
      </w:tr>
      <w:tr>
        <w:trPr>
          <w:tblHeader w:val="false"/>
        </w:trPr>
        <w:tc>
          <w:tcPr>
            <w:tcW w:type="dxa" w:w="2600"/>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Markus Lanz</w:t>
            </w:r>
          </w:p>
        </w:tc>
        <w:tc>
          <w:tcPr>
            <w:tcW w:type="dxa" w:w="1800"/>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1.900.000 €</w:t>
            </w:r>
          </w:p>
        </w:tc>
        <w:tc>
          <w:tcPr>
            <w:tcW w:type="dxa" w:w="4626"/>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Talkshow, Dokus, Sondermoderation</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Horst Lichter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1.700.000 €</w:t>
            </w:r>
          </w:p>
        </w:tc>
        <w:tc>
          <w:tcPr>
            <w:tcW w:type="dxa" w:w="4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Bares für Rares</w:t>
            </w:r>
          </w:p>
        </w:tc>
      </w:tr>
      <w:tr>
        <w:trPr>
          <w:tblHeader w:val="false"/>
        </w:trPr>
        <w:tc>
          <w:tcPr>
            <w:tcW w:type="dxa" w:w="2600"/>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Oliver Welke</w:t>
            </w:r>
          </w:p>
        </w:tc>
        <w:tc>
          <w:tcPr>
            <w:tcW w:type="dxa" w:w="1800"/>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1.180.000 €</w:t>
            </w:r>
          </w:p>
        </w:tc>
        <w:tc>
          <w:tcPr>
            <w:tcW w:type="dxa" w:w="4626"/>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heute-show</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Jan Böhmermann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682.000 €</w:t>
            </w:r>
          </w:p>
        </w:tc>
        <w:tc>
          <w:tcPr>
            <w:tcW w:type="dxa" w:w="4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ZDF Magazin Royale</w:t>
            </w:r>
          </w:p>
        </w:tc>
      </w:tr>
      <w:tr>
        <w:trPr>
          <w:tblHeader w:val="false"/>
        </w:trPr>
        <w:tc>
          <w:tcPr>
            <w:tcW w:type="dxa" w:w="2600"/>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Johannes B. Kerner</w:t>
            </w:r>
          </w:p>
        </w:tc>
        <w:tc>
          <w:tcPr>
            <w:tcW w:type="dxa" w:w="1800"/>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630.000 €</w:t>
            </w:r>
          </w:p>
        </w:tc>
        <w:tc>
          <w:tcPr>
            <w:tcW w:type="dxa" w:w="4626"/>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Sport, Shows, Moderation</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Maybrit Illner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480.000 €</w:t>
            </w:r>
          </w:p>
        </w:tc>
        <w:tc>
          <w:tcPr>
            <w:tcW w:type="dxa" w:w="4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Politiktalk</w:t>
            </w:r>
          </w:p>
        </w:tc>
      </w:tr>
      <w:tr>
        <w:trPr>
          <w:tblHeader w:val="false"/>
        </w:trPr>
        <w:tc>
          <w:tcPr>
            <w:tcW w:type="dxa" w:w="2600"/>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Andrea Kiewel</w:t>
            </w:r>
          </w:p>
        </w:tc>
        <w:tc>
          <w:tcPr>
            <w:tcW w:type="dxa" w:w="1800"/>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400.000 €</w:t>
            </w:r>
          </w:p>
        </w:tc>
        <w:tc>
          <w:tcPr>
            <w:tcW w:type="dxa" w:w="4626"/>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ZDF-Fernsehgarten</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Marietta Slomka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393.750 €</w:t>
            </w:r>
          </w:p>
        </w:tc>
        <w:tc>
          <w:tcPr>
            <w:tcW w:type="dxa" w:w="4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heute-journal</w:t>
            </w:r>
          </w:p>
        </w:tc>
      </w:tr>
      <w:tr>
        <w:trPr>
          <w:tblHeader w:val="false"/>
        </w:trPr>
        <w:tc>
          <w:tcPr>
            <w:tcW w:type="dxa" w:w="2600"/>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Rudi Cerne</w:t>
            </w:r>
          </w:p>
        </w:tc>
        <w:tc>
          <w:tcPr>
            <w:tcW w:type="dxa" w:w="1800"/>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382.000 €</w:t>
            </w:r>
          </w:p>
        </w:tc>
        <w:tc>
          <w:tcPr>
            <w:tcW w:type="dxa" w:w="4626"/>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Aktenzeichen XY</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Christian Sievers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350.000 €</w:t>
            </w:r>
          </w:p>
        </w:tc>
        <w:tc>
          <w:tcPr>
            <w:tcW w:type="dxa" w:w="4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heute-journal</w:t>
            </w:r>
          </w:p>
        </w:tc>
      </w:tr>
    </w:tbl>
    <w:p>
      <w:pPr>
        <w:spacing w:after="0" w:before="120"/>
      </w:pPr>
      <w:r>
        <w:rPr>
          <w:rFonts w:ascii="Arial" w:cs="Arial" w:eastAsia="Arial" w:hAnsi="Arial"/>
          <w:b w:val="false"/>
          <w:bCs w:val="false"/>
          <w:i w:val="false"/>
          <w:iCs w:val="false"/>
          <w:color w:val="333333"/>
          <w:sz w:val="22"/>
          <w:szCs w:val="22"/>
        </w:rPr>
        <w:t xml:space="preserve"/>
      </w:r>
    </w:p>
    <w:p>
      <w:pPr>
        <w:spacing w:after="120" w:before="80"/>
        <w:jc w:val="left"/>
      </w:pPr>
      <w:r>
        <w:rPr>
          <w:rFonts w:ascii="Arial" w:cs="Arial" w:eastAsia="Arial" w:hAnsi="Arial"/>
          <w:b w:val="false"/>
          <w:bCs w:val="false"/>
          <w:i w:val="false"/>
          <w:iCs w:val="false"/>
          <w:color w:val="333333"/>
          <w:sz w:val="22"/>
          <w:szCs w:val="22"/>
        </w:rPr>
        <w:t xml:space="preserve">ARD — keine offizielle Veröffentlichung, Schätzungen auf Basis von Branchenquellen: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26"/>
      </w:tblGrid>
      <w:tr>
        <w:trPr>
          <w:tblHeader/>
        </w:trPr>
        <w:tc>
          <w:tcPr>
            <w:tcW w:type="dxa" w:w="2600"/>
            <w:tcBorders>
              <w:top w:val="single" w:color="CCCCCC" w:sz="1"/>
              <w:left w:val="single" w:color="CCCCCC" w:sz="1"/>
              <w:bottom w:val="single" w:color="CCCCCC" w:sz="1"/>
              <w:right w:val="single" w:color="CCCCCC" w:sz="1"/>
            </w:tcBorders>
            <w:shd w:fill="1A2F4A" w:val="clear"/>
            <w:tcMar>
              <w:top w:type="dxa" w:w="80"/>
              <w:left w:type="dxa" w:w="140"/>
              <w:bottom w:type="dxa" w:w="80"/>
              <w:right w:type="dxa" w:w="140"/>
            </w:tcMar>
          </w:tcPr>
          <w:p>
            <w:r>
              <w:rPr>
                <w:rFonts w:ascii="Arial" w:cs="Arial" w:eastAsia="Arial" w:hAnsi="Arial"/>
                <w:b/>
                <w:bCs/>
                <w:color w:val="FFFFFF"/>
                <w:sz w:val="19"/>
                <w:szCs w:val="19"/>
              </w:rPr>
              <w:t xml:space="preserve">Name</w:t>
            </w:r>
          </w:p>
        </w:tc>
        <w:tc>
          <w:tcPr>
            <w:tcW w:type="dxa" w:w="2200"/>
            <w:tcBorders>
              <w:top w:val="single" w:color="CCCCCC" w:sz="1"/>
              <w:left w:val="single" w:color="CCCCCC" w:sz="1"/>
              <w:bottom w:val="single" w:color="CCCCCC" w:sz="1"/>
              <w:right w:val="single" w:color="CCCCCC" w:sz="1"/>
            </w:tcBorders>
            <w:shd w:fill="1A2F4A" w:val="clear"/>
            <w:tcMar>
              <w:top w:type="dxa" w:w="80"/>
              <w:left w:type="dxa" w:w="140"/>
              <w:bottom w:type="dxa" w:w="80"/>
              <w:right w:type="dxa" w:w="140"/>
            </w:tcMar>
          </w:tcPr>
          <w:p>
            <w:r>
              <w:rPr>
                <w:rFonts w:ascii="Arial" w:cs="Arial" w:eastAsia="Arial" w:hAnsi="Arial"/>
                <w:b/>
                <w:bCs/>
                <w:color w:val="FFFFFF"/>
                <w:sz w:val="19"/>
                <w:szCs w:val="19"/>
              </w:rPr>
              <w:t xml:space="preserve">Honorar-Schätzung</w:t>
            </w:r>
          </w:p>
        </w:tc>
        <w:tc>
          <w:tcPr>
            <w:tcW w:type="dxa" w:w="4226"/>
            <w:tcBorders>
              <w:top w:val="single" w:color="CCCCCC" w:sz="1"/>
              <w:left w:val="single" w:color="CCCCCC" w:sz="1"/>
              <w:bottom w:val="single" w:color="CCCCCC" w:sz="1"/>
              <w:right w:val="single" w:color="CCCCCC" w:sz="1"/>
            </w:tcBorders>
            <w:shd w:fill="1A2F4A" w:val="clear"/>
            <w:tcMar>
              <w:top w:type="dxa" w:w="80"/>
              <w:left w:type="dxa" w:w="140"/>
              <w:bottom w:type="dxa" w:w="80"/>
              <w:right w:type="dxa" w:w="140"/>
            </w:tcMar>
          </w:tcPr>
          <w:p>
            <w:r>
              <w:rPr>
                <w:rFonts w:ascii="Arial" w:cs="Arial" w:eastAsia="Arial" w:hAnsi="Arial"/>
                <w:b/>
                <w:bCs/>
                <w:color w:val="FFFFFF"/>
                <w:sz w:val="19"/>
                <w:szCs w:val="19"/>
              </w:rPr>
              <w:t xml:space="preserve">Format</w:t>
            </w:r>
          </w:p>
        </w:tc>
      </w:tr>
      <w:tr>
        <w:trPr>
          <w:tblHeader w:val="false"/>
        </w:trPr>
        <w:tc>
          <w:tcPr>
            <w:tcW w:type="dxa" w:w="2600"/>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Kai Pflaume</w:t>
            </w:r>
          </w:p>
        </w:tc>
        <w:tc>
          <w:tcPr>
            <w:tcW w:type="dxa" w:w="2200"/>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1.000.000–1.500.000 €</w:t>
            </w:r>
          </w:p>
        </w:tc>
        <w:tc>
          <w:tcPr>
            <w:tcW w:type="dxa" w:w="4226"/>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Quizshows, Unterhaltung</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Anne Will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1.000.000–1.500.000 €</w:t>
            </w:r>
          </w:p>
        </w:tc>
        <w:tc>
          <w:tcPr>
            <w:tcW w:type="dxa" w:w="4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Talkshow (bis 2023)</w:t>
            </w:r>
          </w:p>
        </w:tc>
      </w:tr>
      <w:tr>
        <w:trPr>
          <w:tblHeader w:val="false"/>
        </w:trPr>
        <w:tc>
          <w:tcPr>
            <w:tcW w:type="dxa" w:w="2600"/>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Sandra Maischberger</w:t>
            </w:r>
          </w:p>
        </w:tc>
        <w:tc>
          <w:tcPr>
            <w:tcW w:type="dxa" w:w="2200"/>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1.000.000–1.400.000 €</w:t>
            </w:r>
          </w:p>
        </w:tc>
        <w:tc>
          <w:tcPr>
            <w:tcW w:type="dxa" w:w="4226"/>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Talkshow</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Frank Plasberg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1.000.000–1.200.000 €</w:t>
            </w:r>
          </w:p>
        </w:tc>
        <w:tc>
          <w:tcPr>
            <w:tcW w:type="dxa" w:w="4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Hart aber fair (bis 2022)</w:t>
            </w:r>
          </w:p>
        </w:tc>
      </w:tr>
      <w:tr>
        <w:trPr>
          <w:tblHeader w:val="false"/>
        </w:trPr>
        <w:tc>
          <w:tcPr>
            <w:tcW w:type="dxa" w:w="2600"/>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Eckart v. Hirschhausen</w:t>
            </w:r>
          </w:p>
        </w:tc>
        <w:tc>
          <w:tcPr>
            <w:tcW w:type="dxa" w:w="2200"/>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800.000–1.200.000 €</w:t>
            </w:r>
          </w:p>
        </w:tc>
        <w:tc>
          <w:tcPr>
            <w:tcW w:type="dxa" w:w="4226"/>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Gesundheitsformate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Jörg Pilawa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600.000–900.000 €</w:t>
            </w:r>
          </w:p>
        </w:tc>
        <w:tc>
          <w:tcPr>
            <w:tcW w:type="dxa" w:w="4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Quizshows</w:t>
            </w:r>
          </w:p>
        </w:tc>
      </w:tr>
      <w:tr>
        <w:trPr>
          <w:tblHeader w:val="false"/>
        </w:trPr>
        <w:tc>
          <w:tcPr>
            <w:tcW w:type="dxa" w:w="2600"/>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Carolin Kebekus</w:t>
            </w:r>
          </w:p>
        </w:tc>
        <w:tc>
          <w:tcPr>
            <w:tcW w:type="dxa" w:w="2200"/>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600.000–900.000 €</w:t>
            </w:r>
          </w:p>
        </w:tc>
        <w:tc>
          <w:tcPr>
            <w:tcW w:type="dxa" w:w="4226"/>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Comedy, Late Night</w:t>
            </w:r>
          </w:p>
        </w:tc>
      </w:tr>
    </w:tbl>
    <w:p>
      <w:pPr>
        <w:spacing w:after="0" w:before="200"/>
      </w:pPr>
      <w:r>
        <w:rPr>
          <w:rFonts w:ascii="Arial" w:cs="Arial" w:eastAsia="Arial" w:hAnsi="Arial"/>
          <w:b w:val="false"/>
          <w:bCs w:val="false"/>
          <w:i w:val="false"/>
          <w:iCs w:val="false"/>
          <w:color w:val="333333"/>
          <w:sz w:val="22"/>
          <w:szCs w:val="22"/>
        </w:rPr>
        <w:t xml:space="preserve"/>
      </w:r>
    </w:p>
    <w:p>
      <w:r>
        <w:br/>
      </w:r>
    </w:p>
    <w:p>
      <w:pPr>
        <w:pStyle w:val="Heading1"/>
        <w:spacing w:after="160" w:before="480"/>
      </w:pPr>
      <w:r>
        <w:rPr>
          <w:rFonts w:ascii="Arial" w:cs="Arial" w:eastAsia="Arial" w:hAnsi="Arial"/>
          <w:b/>
          <w:bCs/>
          <w:i w:val="false"/>
          <w:iCs w:val="false"/>
          <w:color w:val="1A2F4A"/>
          <w:sz w:val="38"/>
          <w:szCs w:val="38"/>
        </w:rPr>
        <w:t xml:space="preserve">V. Die Dimension über Jahrzehnte</w:t>
      </w:r>
    </w:p>
    <w:p>
      <w:pPr>
        <w:spacing w:after="120" w:before="80"/>
        <w:jc w:val="left"/>
      </w:pPr>
      <w:r>
        <w:rPr>
          <w:rFonts w:ascii="Arial" w:cs="Arial" w:eastAsia="Arial" w:hAnsi="Arial"/>
          <w:b w:val="false"/>
          <w:bCs w:val="false"/>
          <w:i w:val="false"/>
          <w:iCs w:val="false"/>
          <w:color w:val="333333"/>
          <w:sz w:val="22"/>
          <w:szCs w:val="22"/>
        </w:rPr>
        <w:t xml:space="preserve">Einzelne Jahresgehälter sind schwer vorstellbar. Was die Dimension wirklich deutlich macht, sind die Lebenszeitvolumen — also die Summe aus Einkommen und Pension über eine typische Karriere.</w:t>
      </w:r>
    </w:p>
    <w:p>
      <w:pPr>
        <w:spacing w:after="0" w:before="120"/>
      </w:pPr>
      <w:r>
        <w:rPr>
          <w:rFonts w:ascii="Arial" w:cs="Arial" w:eastAsia="Arial" w:hAnsi="Arial"/>
          <w:b w:val="false"/>
          <w:bCs w:val="false"/>
          <w:i w:val="false"/>
          <w:iCs w:val="false"/>
          <w:color w:val="333333"/>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600"/>
        <w:gridCol w:w="1600"/>
        <w:gridCol w:w="1826"/>
      </w:tblGrid>
      <w:tr>
        <w:trPr>
          <w:tblHeader/>
        </w:trPr>
        <w:tc>
          <w:tcPr>
            <w:tcW w:type="dxa" w:w="2600"/>
            <w:tcBorders>
              <w:top w:val="single" w:color="CCCCCC" w:sz="1"/>
              <w:left w:val="single" w:color="CCCCCC" w:sz="1"/>
              <w:bottom w:val="single" w:color="CCCCCC" w:sz="1"/>
              <w:right w:val="single" w:color="CCCCCC" w:sz="1"/>
            </w:tcBorders>
            <w:shd w:fill="1A2F4A" w:val="clear"/>
            <w:tcMar>
              <w:top w:type="dxa" w:w="80"/>
              <w:left w:type="dxa" w:w="140"/>
              <w:bottom w:type="dxa" w:w="80"/>
              <w:right w:type="dxa" w:w="140"/>
            </w:tcMar>
          </w:tcPr>
          <w:p>
            <w:r>
              <w:rPr>
                <w:rFonts w:ascii="Arial" w:cs="Arial" w:eastAsia="Arial" w:hAnsi="Arial"/>
                <w:b/>
                <w:bCs/>
                <w:color w:val="FFFFFF"/>
                <w:sz w:val="19"/>
                <w:szCs w:val="19"/>
              </w:rPr>
              <w:t xml:space="preserve">Gruppe</w:t>
            </w:r>
          </w:p>
        </w:tc>
        <w:tc>
          <w:tcPr>
            <w:tcW w:type="dxa" w:w="1400"/>
            <w:tcBorders>
              <w:top w:val="single" w:color="CCCCCC" w:sz="1"/>
              <w:left w:val="single" w:color="CCCCCC" w:sz="1"/>
              <w:bottom w:val="single" w:color="CCCCCC" w:sz="1"/>
              <w:right w:val="single" w:color="CCCCCC" w:sz="1"/>
            </w:tcBorders>
            <w:shd w:fill="1A2F4A" w:val="clear"/>
            <w:tcMar>
              <w:top w:type="dxa" w:w="80"/>
              <w:left w:type="dxa" w:w="140"/>
              <w:bottom w:type="dxa" w:w="80"/>
              <w:right w:type="dxa" w:w="140"/>
            </w:tcMar>
          </w:tcPr>
          <w:p>
            <w:r>
              <w:rPr>
                <w:rFonts w:ascii="Arial" w:cs="Arial" w:eastAsia="Arial" w:hAnsi="Arial"/>
                <w:b/>
                <w:bCs/>
                <w:color w:val="FFFFFF"/>
                <w:sz w:val="19"/>
                <w:szCs w:val="19"/>
              </w:rPr>
              <w:t xml:space="preserve">Karriere</w:t>
            </w:r>
          </w:p>
        </w:tc>
        <w:tc>
          <w:tcPr>
            <w:tcW w:type="dxa" w:w="1600"/>
            <w:tcBorders>
              <w:top w:val="single" w:color="CCCCCC" w:sz="1"/>
              <w:left w:val="single" w:color="CCCCCC" w:sz="1"/>
              <w:bottom w:val="single" w:color="CCCCCC" w:sz="1"/>
              <w:right w:val="single" w:color="CCCCCC" w:sz="1"/>
            </w:tcBorders>
            <w:shd w:fill="1A2F4A" w:val="clear"/>
            <w:tcMar>
              <w:top w:type="dxa" w:w="80"/>
              <w:left w:type="dxa" w:w="140"/>
              <w:bottom w:type="dxa" w:w="80"/>
              <w:right w:type="dxa" w:w="140"/>
            </w:tcMar>
          </w:tcPr>
          <w:p>
            <w:r>
              <w:rPr>
                <w:rFonts w:ascii="Arial" w:cs="Arial" w:eastAsia="Arial" w:hAnsi="Arial"/>
                <w:b/>
                <w:bCs/>
                <w:color w:val="FFFFFF"/>
                <w:sz w:val="19"/>
                <w:szCs w:val="19"/>
              </w:rPr>
              <w:t xml:space="preserve">Einkommen gesamt</w:t>
            </w:r>
          </w:p>
        </w:tc>
        <w:tc>
          <w:tcPr>
            <w:tcW w:type="dxa" w:w="1600"/>
            <w:tcBorders>
              <w:top w:val="single" w:color="CCCCCC" w:sz="1"/>
              <w:left w:val="single" w:color="CCCCCC" w:sz="1"/>
              <w:bottom w:val="single" w:color="CCCCCC" w:sz="1"/>
              <w:right w:val="single" w:color="CCCCCC" w:sz="1"/>
            </w:tcBorders>
            <w:shd w:fill="1A2F4A" w:val="clear"/>
            <w:tcMar>
              <w:top w:type="dxa" w:w="80"/>
              <w:left w:type="dxa" w:w="140"/>
              <w:bottom w:type="dxa" w:w="80"/>
              <w:right w:type="dxa" w:w="140"/>
            </w:tcMar>
          </w:tcPr>
          <w:p>
            <w:r>
              <w:rPr>
                <w:rFonts w:ascii="Arial" w:cs="Arial" w:eastAsia="Arial" w:hAnsi="Arial"/>
                <w:b/>
                <w:bCs/>
                <w:color w:val="FFFFFF"/>
                <w:sz w:val="19"/>
                <w:szCs w:val="19"/>
              </w:rPr>
              <w:t xml:space="preserve">Pension gesamt</w:t>
            </w:r>
          </w:p>
        </w:tc>
        <w:tc>
          <w:tcPr>
            <w:tcW w:type="dxa" w:w="1826"/>
            <w:tcBorders>
              <w:top w:val="single" w:color="CCCCCC" w:sz="1"/>
              <w:left w:val="single" w:color="CCCCCC" w:sz="1"/>
              <w:bottom w:val="single" w:color="CCCCCC" w:sz="1"/>
              <w:right w:val="single" w:color="CCCCCC" w:sz="1"/>
            </w:tcBorders>
            <w:shd w:fill="1A2F4A" w:val="clear"/>
            <w:tcMar>
              <w:top w:type="dxa" w:w="80"/>
              <w:left w:type="dxa" w:w="140"/>
              <w:bottom w:type="dxa" w:w="80"/>
              <w:right w:type="dxa" w:w="140"/>
            </w:tcMar>
          </w:tcPr>
          <w:p>
            <w:r>
              <w:rPr>
                <w:rFonts w:ascii="Arial" w:cs="Arial" w:eastAsia="Arial" w:hAnsi="Arial"/>
                <w:b/>
                <w:bCs/>
                <w:color w:val="FFFFFF"/>
                <w:sz w:val="19"/>
                <w:szCs w:val="19"/>
              </w:rPr>
              <w:t xml:space="preserve">Lebenszeitvolumen</w:t>
            </w:r>
          </w:p>
        </w:tc>
      </w:tr>
      <w:tr>
        <w:trPr>
          <w:tblHeader w:val="false"/>
        </w:trPr>
        <w:tc>
          <w:tcPr>
            <w:tcW w:type="dxa" w:w="2600"/>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Moderatoren</w:t>
            </w:r>
          </w:p>
        </w:tc>
        <w:tc>
          <w:tcPr>
            <w:tcW w:type="dxa" w:w="1400"/>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20 Jahre</w:t>
            </w:r>
          </w:p>
        </w:tc>
        <w:tc>
          <w:tcPr>
            <w:tcW w:type="dxa" w:w="1600"/>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20–30 Mio. €</w:t>
            </w:r>
          </w:p>
        </w:tc>
        <w:tc>
          <w:tcPr>
            <w:tcW w:type="dxa" w:w="1600"/>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privat, mehrere Mio.</w:t>
            </w:r>
          </w:p>
        </w:tc>
        <w:tc>
          <w:tcPr>
            <w:tcW w:type="dxa" w:w="1826"/>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25–40 Mio. €</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Intendanten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20 Jahre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7–8 Mio.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3–4 Mio. €</w:t>
            </w:r>
          </w:p>
        </w:tc>
        <w:tc>
          <w:tcPr>
            <w:tcW w:type="dxa" w:w="1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10–12 Mio. €</w:t>
            </w:r>
          </w:p>
        </w:tc>
      </w:tr>
      <w:tr>
        <w:trPr>
          <w:tblHeader w:val="false"/>
        </w:trPr>
        <w:tc>
          <w:tcPr>
            <w:tcW w:type="dxa" w:w="2600"/>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Programmdirektoren</w:t>
            </w:r>
          </w:p>
        </w:tc>
        <w:tc>
          <w:tcPr>
            <w:tcW w:type="dxa" w:w="1400"/>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25 Jahre</w:t>
            </w:r>
          </w:p>
        </w:tc>
        <w:tc>
          <w:tcPr>
            <w:tcW w:type="dxa" w:w="1600"/>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6–7 Mio. €</w:t>
            </w:r>
          </w:p>
        </w:tc>
        <w:tc>
          <w:tcPr>
            <w:tcW w:type="dxa" w:w="1600"/>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2–3 Mio. €</w:t>
            </w:r>
          </w:p>
        </w:tc>
        <w:tc>
          <w:tcPr>
            <w:tcW w:type="dxa" w:w="1826"/>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8–10 Mio. €</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Chefredakteure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25 Jahre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4–5 Mio.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1,5–2 Mio. €</w:t>
            </w:r>
          </w:p>
        </w:tc>
        <w:tc>
          <w:tcPr>
            <w:tcW w:type="dxa" w:w="1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5–7 Mio. €</w:t>
            </w:r>
          </w:p>
        </w:tc>
      </w:tr>
      <w:tr>
        <w:trPr>
          <w:tblHeader w:val="false"/>
        </w:trPr>
        <w:tc>
          <w:tcPr>
            <w:tcW w:type="dxa" w:w="2600"/>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Politiker (Kanzler)</w:t>
            </w:r>
          </w:p>
        </w:tc>
        <w:tc>
          <w:tcPr>
            <w:tcW w:type="dxa" w:w="1400"/>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15–30 Jahre</w:t>
            </w:r>
          </w:p>
        </w:tc>
        <w:tc>
          <w:tcPr>
            <w:tcW w:type="dxa" w:w="1600"/>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5–8 Mio. €</w:t>
            </w:r>
          </w:p>
        </w:tc>
        <w:tc>
          <w:tcPr>
            <w:tcW w:type="dxa" w:w="1600"/>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2–4 Mio. €</w:t>
            </w:r>
          </w:p>
        </w:tc>
        <w:tc>
          <w:tcPr>
            <w:tcW w:type="dxa" w:w="1826"/>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7–12 Mio. €</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Bundestagsabgeordnete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20 Jahre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2–3 Mio.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1–2 Mio. €</w:t>
            </w:r>
          </w:p>
        </w:tc>
        <w:tc>
          <w:tcPr>
            <w:tcW w:type="dxa" w:w="1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33333"/>
                <w:sz w:val="19"/>
                <w:szCs w:val="19"/>
              </w:rPr>
              <w:t xml:space="preserve">3–5 Mio. €</w:t>
            </w:r>
          </w:p>
        </w:tc>
      </w:tr>
    </w:tbl>
    <w:p>
      <w:pPr>
        <w:spacing w:after="0" w:before="120"/>
      </w:pPr>
      <w:r>
        <w:rPr>
          <w:rFonts w:ascii="Arial" w:cs="Arial" w:eastAsia="Arial" w:hAnsi="Arial"/>
          <w:b w:val="false"/>
          <w:bCs w:val="false"/>
          <w:i w:val="false"/>
          <w:iCs w:val="false"/>
          <w:color w:val="333333"/>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color="FFFFFF" w:sz="0"/>
              <w:left w:val="none" w:color="FFFFFF" w:sz="0"/>
              <w:bottom w:val="none" w:color="FFFFFF" w:sz="0"/>
              <w:right w:val="none" w:color="FFFFFF" w:sz="0"/>
            </w:tcBorders>
            <w:shd w:fill="2E5C8A" w:val="clear"/>
          </w:tcPr>
          <w:p>
            <w:pPr>
              <w:spacing w:after="120" w:before="80"/>
              <w:jc w:val="left"/>
            </w:pPr>
            <w:r>
              <w:rPr>
                <w:rFonts w:ascii="Arial" w:cs="Arial" w:eastAsia="Arial" w:hAnsi="Arial"/>
                <w:b w:val="false"/>
                <w:bCs w:val="false"/>
                <w:i w:val="false"/>
                <w:iCs w:val="false"/>
                <w:color w:val="333333"/>
                <w:sz w:val="22"/>
                <w:szCs w:val="22"/>
              </w:rPr>
              <w:t xml:space="preserve"/>
            </w:r>
          </w:p>
        </w:tc>
        <w:tc>
          <w:tcPr>
            <w:tcW w:type="dxa" w:w="8826"/>
            <w:tcBorders>
              <w:top w:val="none" w:color="FFFFFF" w:sz="0"/>
              <w:left w:val="none" w:color="FFFFFF" w:sz="0"/>
              <w:bottom w:val="none" w:color="FFFFFF" w:sz="0"/>
              <w:right w:val="none" w:color="FFFFFF" w:sz="0"/>
            </w:tcBorders>
            <w:shd w:fill="F2F5F8" w:val="clear"/>
            <w:tcMar>
              <w:top w:type="dxa" w:w="140"/>
              <w:left w:type="dxa" w:w="240"/>
              <w:bottom w:type="dxa" w:w="140"/>
              <w:right w:type="dxa" w:w="240"/>
            </w:tcMar>
          </w:tcPr>
          <w:p>
            <w:pPr>
              <w:spacing w:after="80" w:before="0"/>
            </w:pPr>
            <w:r>
              <w:rPr>
                <w:rFonts w:ascii="Arial" w:cs="Arial" w:eastAsia="Arial" w:hAnsi="Arial"/>
                <w:b w:val="false"/>
                <w:bCs w:val="false"/>
                <w:i/>
                <w:iCs/>
                <w:color w:val="333333"/>
                <w:sz w:val="23"/>
                <w:szCs w:val="23"/>
              </w:rPr>
              <w:t xml:space="preserve">'Die stärkste Kombination aus Geld, Einfluss und Unkontrollierbarkeit liegt nicht in der Politik — sondern im öffentlich-rechtlichen Rundfunk."</w:t>
            </w:r>
          </w:p>
          <w:p>
            <w:pPr>
              <w:spacing w:after="0" w:before="0"/>
            </w:pPr>
            <w:r>
              <w:rPr>
                <w:rFonts w:ascii="Arial" w:cs="Arial" w:eastAsia="Arial" w:hAnsi="Arial"/>
                <w:b w:val="false"/>
                <w:bCs w:val="false"/>
                <w:i w:val="false"/>
                <w:iCs w:val="false"/>
                <w:color w:val="888888"/>
                <w:sz w:val="18"/>
                <w:szCs w:val="18"/>
              </w:rPr>
              <w:t xml:space="preserve">Analyse rundfunkkritik.de</w:t>
            </w:r>
          </w:p>
        </w:tc>
      </w:tr>
    </w:tbl>
    <w:p>
      <w:pPr>
        <w:spacing w:after="0" w:before="200"/>
      </w:pPr>
      <w:r>
        <w:rPr>
          <w:rFonts w:ascii="Arial" w:cs="Arial" w:eastAsia="Arial" w:hAnsi="Arial"/>
          <w:b w:val="false"/>
          <w:bCs w:val="false"/>
          <w:i w:val="false"/>
          <w:iCs w:val="false"/>
          <w:color w:val="333333"/>
          <w:sz w:val="22"/>
          <w:szCs w:val="22"/>
        </w:rPr>
        <w:t xml:space="preserve"/>
      </w:r>
    </w:p>
    <w:p>
      <w:pPr>
        <w:pStyle w:val="Heading1"/>
        <w:spacing w:after="160" w:before="480"/>
      </w:pPr>
      <w:r>
        <w:rPr>
          <w:rFonts w:ascii="Arial" w:cs="Arial" w:eastAsia="Arial" w:hAnsi="Arial"/>
          <w:b/>
          <w:bCs/>
          <w:i w:val="false"/>
          <w:iCs w:val="false"/>
          <w:color w:val="1A2F4A"/>
          <w:sz w:val="38"/>
          <w:szCs w:val="38"/>
        </w:rPr>
        <w:t xml:space="preserve">VI. Was eine Bremse wirklich leisten müsste</w:t>
      </w:r>
    </w:p>
    <w:p>
      <w:pPr>
        <w:spacing w:after="120" w:before="80"/>
        <w:jc w:val="left"/>
      </w:pPr>
      <w:r>
        <w:rPr>
          <w:rFonts w:ascii="Arial" w:cs="Arial" w:eastAsia="Arial" w:hAnsi="Arial"/>
          <w:b w:val="false"/>
          <w:bCs w:val="false"/>
          <w:i w:val="false"/>
          <w:iCs w:val="false"/>
          <w:color w:val="333333"/>
          <w:sz w:val="22"/>
          <w:szCs w:val="22"/>
        </w:rPr>
        <w:t xml:space="preserve">Die hohen Summen sind kein individuelles Versagen, sondern das Ergebnis einer Struktur, die sich selbst kontrolliert und selbst belohnt. Vier Hebel würden wirklich greifen:</w:t>
      </w:r>
    </w:p>
    <w:p>
      <w:pPr>
        <w:spacing w:after="0" w:before="120"/>
      </w:pPr>
      <w:r>
        <w:rPr>
          <w:rFonts w:ascii="Arial" w:cs="Arial" w:eastAsia="Arial" w:hAnsi="Arial"/>
          <w:b w:val="false"/>
          <w:bCs w:val="false"/>
          <w:i w:val="false"/>
          <w:iCs w:val="false"/>
          <w:color w:val="333333"/>
          <w:sz w:val="22"/>
          <w:szCs w:val="22"/>
        </w:rPr>
        <w:t xml:space="preserve"/>
      </w:r>
    </w:p>
    <w:p>
      <w:pPr>
        <w:pStyle w:val="Heading2"/>
        <w:spacing w:after="100" w:before="280"/>
      </w:pPr>
      <w:r>
        <w:rPr>
          <w:rFonts w:ascii="Arial" w:cs="Arial" w:eastAsia="Arial" w:hAnsi="Arial"/>
          <w:b/>
          <w:bCs/>
          <w:i w:val="false"/>
          <w:iCs w:val="false"/>
          <w:color w:val="2E5C8A"/>
          <w:sz w:val="26"/>
          <w:szCs w:val="26"/>
        </w:rPr>
        <w:t xml:space="preserve">Hebel 1 — Transparenzpflicht</w:t>
      </w:r>
    </w:p>
    <w:p>
      <w:pPr>
        <w:spacing w:after="120" w:before="80"/>
        <w:jc w:val="left"/>
      </w:pPr>
      <w:r>
        <w:rPr>
          <w:rFonts w:ascii="Arial" w:cs="Arial" w:eastAsia="Arial" w:hAnsi="Arial"/>
          <w:b w:val="false"/>
          <w:bCs w:val="false"/>
          <w:i w:val="false"/>
          <w:iCs w:val="false"/>
          <w:color w:val="333333"/>
          <w:sz w:val="22"/>
          <w:szCs w:val="22"/>
        </w:rPr>
        <w:t xml:space="preserve">Politiker müssen alle Bezüge offenlegen. Intendanten und Programmdirektoren nicht. Eine Transparenzpflicht nach politischem Vorbild würde das System innerhalb kurzer Zeit zur Selbstkorrektur zwingen.</w:t>
      </w:r>
    </w:p>
    <w:p>
      <w:pPr>
        <w:spacing w:after="0" w:before="60"/>
      </w:pPr>
      <w:r>
        <w:rPr>
          <w:rFonts w:ascii="Arial" w:cs="Arial" w:eastAsia="Arial" w:hAnsi="Arial"/>
          <w:b w:val="false"/>
          <w:bCs w:val="false"/>
          <w:i w:val="false"/>
          <w:iCs w:val="false"/>
          <w:color w:val="333333"/>
          <w:sz w:val="22"/>
          <w:szCs w:val="22"/>
        </w:rPr>
        <w:t xml:space="preserve"/>
      </w:r>
    </w:p>
    <w:p>
      <w:pPr>
        <w:pStyle w:val="Heading2"/>
        <w:spacing w:after="100" w:before="280"/>
      </w:pPr>
      <w:r>
        <w:rPr>
          <w:rFonts w:ascii="Arial" w:cs="Arial" w:eastAsia="Arial" w:hAnsi="Arial"/>
          <w:b/>
          <w:bCs/>
          <w:i w:val="false"/>
          <w:iCs w:val="false"/>
          <w:color w:val="2E5C8A"/>
          <w:sz w:val="26"/>
          <w:szCs w:val="26"/>
        </w:rPr>
        <w:t xml:space="preserve">Hebel 2 — Gehaltsdeckelung</w:t>
      </w:r>
    </w:p>
    <w:p>
      <w:pPr>
        <w:spacing w:after="120" w:before="80"/>
        <w:jc w:val="left"/>
      </w:pPr>
      <w:r>
        <w:rPr>
          <w:rFonts w:ascii="Arial" w:cs="Arial" w:eastAsia="Arial" w:hAnsi="Arial"/>
          <w:b w:val="false"/>
          <w:bCs w:val="false"/>
          <w:i w:val="false"/>
          <w:iCs w:val="false"/>
          <w:color w:val="333333"/>
          <w:sz w:val="22"/>
          <w:szCs w:val="22"/>
        </w:rPr>
        <w:t xml:space="preserve">Eine einfache, sofort umsetzbare Regel: Intendanten dürfen maximal das Kanzlergehalt verdienen. Programmdirektoren maximal Ministergehalt. Chefredakteure maximal Staatssekretärsgehalt. Moderatoren: maximal 500.000 Euro aus öffentlichen Mitteln.</w:t>
      </w:r>
    </w:p>
    <w:p>
      <w:pPr>
        <w:spacing w:after="0" w:before="60"/>
      </w:pPr>
      <w:r>
        <w:rPr>
          <w:rFonts w:ascii="Arial" w:cs="Arial" w:eastAsia="Arial" w:hAnsi="Arial"/>
          <w:b w:val="false"/>
          <w:bCs w:val="false"/>
          <w:i w:val="false"/>
          <w:iCs w:val="false"/>
          <w:color w:val="333333"/>
          <w:sz w:val="22"/>
          <w:szCs w:val="22"/>
        </w:rPr>
        <w:t xml:space="preserve"/>
      </w:r>
    </w:p>
    <w:p>
      <w:pPr>
        <w:pStyle w:val="Heading2"/>
        <w:spacing w:after="100" w:before="280"/>
      </w:pPr>
      <w:r>
        <w:rPr>
          <w:rFonts w:ascii="Arial" w:cs="Arial" w:eastAsia="Arial" w:hAnsi="Arial"/>
          <w:b/>
          <w:bCs/>
          <w:i w:val="false"/>
          <w:iCs w:val="false"/>
          <w:color w:val="2E5C8A"/>
          <w:sz w:val="26"/>
          <w:szCs w:val="26"/>
        </w:rPr>
        <w:t xml:space="preserve">Hebel 3 — Pensionsreform</w:t>
      </w:r>
    </w:p>
    <w:p>
      <w:pPr>
        <w:spacing w:after="120" w:before="80"/>
        <w:jc w:val="left"/>
      </w:pPr>
      <w:r>
        <w:rPr>
          <w:rFonts w:ascii="Arial" w:cs="Arial" w:eastAsia="Arial" w:hAnsi="Arial"/>
          <w:b w:val="false"/>
          <w:bCs w:val="false"/>
          <w:i w:val="false"/>
          <w:iCs w:val="false"/>
          <w:color w:val="333333"/>
          <w:sz w:val="22"/>
          <w:szCs w:val="22"/>
        </w:rPr>
        <w:t xml:space="preserve">Der größte Kostenblock ist nicht das laufende Gehalt, sondern die lebenslangen Pensionszusagen. Eine Reform nach Beamtenrecht würde die Lebenszeitvolumen der Intendanten und Direktoren annähernd halbieren.</w:t>
      </w:r>
    </w:p>
    <w:p>
      <w:pPr>
        <w:spacing w:after="0" w:before="60"/>
      </w:pPr>
      <w:r>
        <w:rPr>
          <w:rFonts w:ascii="Arial" w:cs="Arial" w:eastAsia="Arial" w:hAnsi="Arial"/>
          <w:b w:val="false"/>
          <w:bCs w:val="false"/>
          <w:i w:val="false"/>
          <w:iCs w:val="false"/>
          <w:color w:val="333333"/>
          <w:sz w:val="22"/>
          <w:szCs w:val="22"/>
        </w:rPr>
        <w:t xml:space="preserve"/>
      </w:r>
    </w:p>
    <w:p>
      <w:pPr>
        <w:pStyle w:val="Heading2"/>
        <w:spacing w:after="100" w:before="280"/>
      </w:pPr>
      <w:r>
        <w:rPr>
          <w:rFonts w:ascii="Arial" w:cs="Arial" w:eastAsia="Arial" w:hAnsi="Arial"/>
          <w:b/>
          <w:bCs/>
          <w:i w:val="false"/>
          <w:iCs w:val="false"/>
          <w:color w:val="2E5C8A"/>
          <w:sz w:val="26"/>
          <w:szCs w:val="26"/>
        </w:rPr>
        <w:t xml:space="preserve">Hebel 4 — Externe Aufsicht</w:t>
      </w:r>
    </w:p>
    <w:p>
      <w:pPr>
        <w:spacing w:after="120" w:before="80"/>
        <w:jc w:val="left"/>
      </w:pPr>
      <w:r>
        <w:rPr>
          <w:rFonts w:ascii="Arial" w:cs="Arial" w:eastAsia="Arial" w:hAnsi="Arial"/>
          <w:b w:val="false"/>
          <w:bCs w:val="false"/>
          <w:i w:val="false"/>
          <w:iCs w:val="false"/>
          <w:color w:val="333333"/>
          <w:sz w:val="22"/>
          <w:szCs w:val="22"/>
        </w:rPr>
        <w:t xml:space="preserve">Rundfunkräte werden von denselben Parteien besetzt, die der ÖRR eigentlich kontrollieren soll. Eine unabhängige Finanzkontrolle mit Veröffentlichungspflicht wäre die strukturell wirksamste Maßnahme.</w:t>
      </w:r>
    </w:p>
    <w:p>
      <w:pPr>
        <w:spacing w:after="0" w:before="200"/>
      </w:pPr>
      <w:r>
        <w:rPr>
          <w:rFonts w:ascii="Arial" w:cs="Arial" w:eastAsia="Arial" w:hAnsi="Arial"/>
          <w:b w:val="false"/>
          <w:bCs w:val="false"/>
          <w:i w:val="false"/>
          <w:iCs w:val="false"/>
          <w:color w:val="333333"/>
          <w:sz w:val="22"/>
          <w:szCs w:val="22"/>
        </w:rPr>
        <w:t xml:space="preserve"/>
      </w:r>
    </w:p>
    <w:p>
      <w:pPr>
        <w:pBdr>
          <w:bottom w:val="single" w:color="1A2F4A" w:sz="6" w:space="1"/>
        </w:pBdr>
        <w:spacing w:after="200" w:before="200"/>
      </w:pPr>
    </w:p>
    <w:p>
      <w:pPr>
        <w:spacing w:after="80" w:before="200"/>
        <w:jc w:val="center"/>
      </w:pPr>
      <w:r>
        <w:rPr>
          <w:rFonts w:ascii="Arial" w:cs="Arial" w:eastAsia="Arial" w:hAnsi="Arial"/>
          <w:b w:val="false"/>
          <w:bCs w:val="false"/>
          <w:i/>
          <w:iCs/>
          <w:color w:val="888888"/>
          <w:sz w:val="18"/>
          <w:szCs w:val="18"/>
        </w:rPr>
        <w:t xml:space="preserve">Stand: Mai 2026  ·  rundfunkkritik.de</w:t>
      </w:r>
    </w:p>
    <w:p>
      <w:pPr>
        <w:spacing w:after="0" w:before="0"/>
        <w:jc w:val="center"/>
      </w:pPr>
      <w:r>
        <w:rPr>
          <w:rFonts w:ascii="Arial" w:cs="Arial" w:eastAsia="Arial" w:hAnsi="Arial"/>
          <w:b w:val="false"/>
          <w:bCs w:val="false"/>
          <w:i/>
          <w:iCs/>
          <w:color w:val="888888"/>
          <w:sz w:val="18"/>
          <w:szCs w:val="18"/>
        </w:rPr>
        <w:t xml:space="preserve">Alle ZDF-Zahlen: geleakte Liste 2024 (Welt am Sonntag). ARD-Zahlen: Schätzungen.</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C8A" w:sz="4" w:space="1"/>
      </w:pBdr>
      <w:spacing w:after="160" w:before="480"/>
      <w:outlineLvl w:val="0"/>
    </w:pPr>
    <w:rPr>
      <w:rFonts w:ascii="Arial" w:cs="Arial" w:eastAsia="Arial" w:hAnsi="Arial"/>
      <w:b/>
      <w:bCs/>
      <w:color w:val="1A2F4A"/>
      <w:sz w:val="38"/>
      <w:szCs w:val="38"/>
    </w:rPr>
  </w:style>
  <w:style w:type="paragraph" w:styleId="Heading2">
    <w:name w:val="Heading 2"/>
    <w:basedOn w:val="Normal"/>
    <w:next w:val="Normal"/>
    <w:qFormat/>
    <w:pPr>
      <w:spacing w:after="100" w:before="280"/>
      <w:outlineLvl w:val="1"/>
    </w:pPr>
    <w:rPr>
      <w:rFonts w:ascii="Arial" w:cs="Arial" w:eastAsia="Arial" w:hAnsi="Arial"/>
      <w:b/>
      <w:bCs/>
      <w:color w:val="2E5C8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2F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2026-05-20T20:12:06.600Z</dcterms:created>
  <dcterms:modified xsi:type="dcterms:W3CDTF">2026-05-20T20:12:06.600Z</dcterms:modified>
</cp:coreProperties>
</file>

<file path=docProps/custom.xml><?xml version="1.0" encoding="utf-8"?>
<Properties xmlns="http://schemas.openxmlformats.org/officeDocument/2006/custom-properties" xmlns:vt="http://schemas.openxmlformats.org/officeDocument/2006/docPropsVTypes"/>
</file>