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44"/>
        </w:rPr>
        <w:t>WILEY UNIVERSITY</w:t>
        <w:br/>
        <w:t>INSTITUTIONAL REVIEW BOARD (IRB)</w:t>
        <w:br/>
        <w:t>IMPLEMENTATION PLAN OF ACTION</w:t>
      </w:r>
    </w:p>
    <w:p>
      <w:pPr>
        <w:jc w:val="center"/>
      </w:pPr>
      <w:r>
        <w:rPr>
          <w:color w:val="646464"/>
          <w:sz w:val="28"/>
        </w:rPr>
        <w:br/>
        <w:t>Office of Institutional Research and Effectiveness</w:t>
        <w:br/>
        <w:t>February 2026</w:t>
      </w:r>
    </w:p>
    <w:p>
      <w:r>
        <w:br w:type="page"/>
      </w:r>
    </w:p>
    <w:p>
      <w:pPr>
        <w:pStyle w:val="Heading1"/>
      </w:pPr>
      <w:r>
        <w:t>Table of Contents</w:t>
      </w:r>
    </w:p>
    <w:p>
      <w:pPr>
        <w:spacing w:after="40"/>
      </w:pPr>
      <w:r>
        <w:t>1. Phase 0: Get the Green Light</w:t>
      </w:r>
    </w:p>
    <w:p>
      <w:pPr>
        <w:spacing w:after="40"/>
      </w:pPr>
      <w:r>
        <w:t>2. Phase 1: Chair &amp; FWA Registration</w:t>
      </w:r>
    </w:p>
    <w:p>
      <w:pPr>
        <w:spacing w:after="40"/>
      </w:pPr>
      <w:r>
        <w:t>3. Phase 2: Committee &amp; Policies</w:t>
      </w:r>
    </w:p>
    <w:p>
      <w:pPr>
        <w:spacing w:after="40"/>
      </w:pPr>
      <w:r>
        <w:t>4. Phase 3: Infrastructure &amp; Training</w:t>
      </w:r>
    </w:p>
    <w:p>
      <w:pPr>
        <w:spacing w:after="40"/>
      </w:pPr>
      <w:r>
        <w:t>5. Phase 4: Launch</w:t>
      </w:r>
    </w:p>
    <w:p>
      <w:pPr>
        <w:spacing w:after="40"/>
      </w:pPr>
      <w:r>
        <w:t>6. Minimum Requirements for Launch</w:t>
      </w:r>
    </w:p>
    <w:p>
      <w:pPr>
        <w:spacing w:after="40"/>
      </w:pPr>
      <w:r>
        <w:t>7. Key Contacts &amp; Resources</w:t>
      </w:r>
    </w:p>
    <w:p>
      <w:pPr>
        <w:spacing w:after="40"/>
      </w:pPr>
      <w:r>
        <w:t>8. Estimated Budget (Year 1)</w:t>
      </w:r>
    </w:p>
    <w:p>
      <w:pPr>
        <w:spacing w:after="40"/>
      </w:pPr>
      <w:r>
        <w:t>9. Top Risks</w:t>
      </w:r>
    </w:p>
    <w:p>
      <w:r>
        <w:br w:type="page"/>
      </w:r>
    </w:p>
    <w:p>
      <w:pPr>
        <w:pStyle w:val="Heading1"/>
      </w:pPr>
      <w:r>
        <w:t>Phase 0: Get the Green Light (This Week)</w:t>
      </w:r>
    </w:p>
    <w:p>
      <w:r>
        <w:t>These are blockers — nothing else moves until these are done.</w:t>
      </w:r>
    </w:p>
    <w:p>
      <w:pPr>
        <w:pStyle w:val="Heading2"/>
      </w:pPr>
      <w:r>
        <w:t>Step 1: Obtain President's Written Authorization</w:t>
      </w:r>
    </w:p>
    <w:p>
      <w:r>
        <w:t>Secure a signed letter or memo from the University President endorsing the creation of the IRB. This document will be required for the FWA application and serves as the institutional commitment to human subjects protection.</w:t>
      </w:r>
    </w:p>
    <w:p>
      <w:r>
        <w:rPr>
          <w:b/>
        </w:rPr>
        <w:t xml:space="preserve">Deliverable: </w:t>
      </w:r>
      <w:r>
        <w:t>Signed presidential authorization letter</w:t>
      </w:r>
    </w:p>
    <w:p>
      <w:pPr>
        <w:pStyle w:val="Heading2"/>
      </w:pPr>
      <w:r>
        <w:t>Step 2: Secure Budget Approval</w:t>
      </w:r>
    </w:p>
    <w:p>
      <w:r>
        <w:t>The recommended Year 1 budget is $15,000–$25,000. At minimum, secure the low-end estimate of $7,000. Key cost items include:</w:t>
      </w:r>
    </w:p>
    <w:p>
      <w:pPr>
        <w:pStyle w:val="ListBullet"/>
      </w:pPr>
      <w:r>
        <w:t>CITI Program subscription</w:t>
      </w:r>
    </w:p>
    <w:p>
      <w:pPr>
        <w:pStyle w:val="ListBullet"/>
      </w:pPr>
      <w:r>
        <w:t>IRB Chair stipend</w:t>
      </w:r>
    </w:p>
    <w:p>
      <w:pPr>
        <w:pStyle w:val="ListBullet"/>
      </w:pPr>
      <w:r>
        <w:t>Community member honorarium</w:t>
      </w:r>
    </w:p>
    <w:p>
      <w:pPr>
        <w:pStyle w:val="ListBullet"/>
      </w:pPr>
      <w:r>
        <w:t>Optional IRB management software</w:t>
      </w:r>
    </w:p>
    <w:p>
      <w:pPr>
        <w:pStyle w:val="ListBullet"/>
      </w:pPr>
      <w:r>
        <w:t>Training materials and supplies</w:t>
      </w:r>
    </w:p>
    <w:p>
      <w:r>
        <w:rPr>
          <w:b/>
        </w:rPr>
        <w:t xml:space="preserve">Deliverable: </w:t>
      </w:r>
      <w:r>
        <w:t>Approved budget allocation memo</w:t>
      </w:r>
    </w:p>
    <w:p>
      <w:pPr>
        <w:pStyle w:val="Heading2"/>
      </w:pPr>
      <w:r>
        <w:t>Step 3: Make 6 Key Decisions</w:t>
      </w:r>
    </w:p>
    <w:p>
      <w:r>
        <w:t>Sit down with institutional leadership and resolve the following decisions. These will shape every policy, form, and workflow that follows.</w:t>
      </w:r>
    </w:p>
    <w:tbl>
      <w:tblPr>
        <w:tblStyle w:val="LightGrid-Accent1"/>
        <w:tblW w:type="auto" w:w="0"/>
        <w:tblLook w:firstColumn="1" w:firstRow="1" w:lastColumn="0" w:lastRow="0" w:noHBand="0" w:noVBand="1" w:val="04A0"/>
      </w:tblPr>
      <w:tblGrid>
        <w:gridCol w:w="4320"/>
        <w:gridCol w:w="4320"/>
      </w:tblGrid>
      <w:tr>
        <w:tc>
          <w:tcPr>
            <w:tcW w:type="dxa" w:w="4320"/>
          </w:tcPr>
          <w:p>
            <w:r>
              <w:t>Decision</w:t>
            </w:r>
          </w:p>
        </w:tc>
        <w:tc>
          <w:tcPr>
            <w:tcW w:type="dxa" w:w="4320"/>
          </w:tcPr>
          <w:p>
            <w:r>
              <w:t>Options</w:t>
            </w:r>
          </w:p>
        </w:tc>
      </w:tr>
      <w:tr>
        <w:tc>
          <w:tcPr>
            <w:tcW w:type="dxa" w:w="4320"/>
          </w:tcPr>
          <w:p>
            <w:r>
              <w:t>FWA Scope</w:t>
            </w:r>
          </w:p>
        </w:tc>
        <w:tc>
          <w:tcPr>
            <w:tcW w:type="dxa" w:w="4320"/>
          </w:tcPr>
          <w:p>
            <w:r>
              <w:t>Voluntary compliance vs. required for federal funding?</w:t>
            </w:r>
          </w:p>
        </w:tc>
      </w:tr>
      <w:tr>
        <w:tc>
          <w:tcPr>
            <w:tcW w:type="dxa" w:w="4320"/>
          </w:tcPr>
          <w:p>
            <w:r>
              <w:t>Review Authority</w:t>
            </w:r>
          </w:p>
        </w:tc>
        <w:tc>
          <w:tcPr>
            <w:tcW w:type="dxa" w:w="4320"/>
          </w:tcPr>
          <w:p>
            <w:r>
              <w:t>All research vs. only funded/published research?</w:t>
            </w:r>
          </w:p>
        </w:tc>
      </w:tr>
      <w:tr>
        <w:tc>
          <w:tcPr>
            <w:tcW w:type="dxa" w:w="4320"/>
          </w:tcPr>
          <w:p>
            <w:r>
              <w:t>Student Research</w:t>
            </w:r>
          </w:p>
        </w:tc>
        <w:tc>
          <w:tcPr>
            <w:tcW w:type="dxa" w:w="4320"/>
          </w:tcPr>
          <w:p>
            <w:r>
              <w:t>Full review vs. expedited track for student projects?</w:t>
            </w:r>
          </w:p>
        </w:tc>
      </w:tr>
      <w:tr>
        <w:tc>
          <w:tcPr>
            <w:tcW w:type="dxa" w:w="4320"/>
          </w:tcPr>
          <w:p>
            <w:r>
              <w:t>Member Compensation</w:t>
            </w:r>
          </w:p>
        </w:tc>
        <w:tc>
          <w:tcPr>
            <w:tcW w:type="dxa" w:w="4320"/>
          </w:tcPr>
          <w:p>
            <w:r>
              <w:t>Stipends vs. service expectation?</w:t>
            </w:r>
          </w:p>
        </w:tc>
      </w:tr>
      <w:tr>
        <w:tc>
          <w:tcPr>
            <w:tcW w:type="dxa" w:w="4320"/>
          </w:tcPr>
          <w:p>
            <w:r>
              <w:t>Technology</w:t>
            </w:r>
          </w:p>
        </w:tc>
        <w:tc>
          <w:tcPr>
            <w:tcW w:type="dxa" w:w="4320"/>
          </w:tcPr>
          <w:p>
            <w:r>
              <w:t>Manual/forms-based start vs. platform investment (e.g., IRBNet, Cayuse)?</w:t>
            </w:r>
          </w:p>
        </w:tc>
      </w:tr>
      <w:tr>
        <w:tc>
          <w:tcPr>
            <w:tcW w:type="dxa" w:w="4320"/>
          </w:tcPr>
          <w:p>
            <w:r>
              <w:t>Staffing</w:t>
            </w:r>
          </w:p>
        </w:tc>
        <w:tc>
          <w:tcPr>
            <w:tcW w:type="dxa" w:w="4320"/>
          </w:tcPr>
          <w:p>
            <w:r>
              <w:t>Assign existing staff vs. hire a dedicated IRB coordinator?</w:t>
            </w:r>
          </w:p>
        </w:tc>
      </w:tr>
    </w:tbl>
    <w:p>
      <w:r>
        <w:rPr>
          <w:b/>
        </w:rPr>
        <w:br/>
        <w:t xml:space="preserve">Deliverable: </w:t>
      </w:r>
      <w:r>
        <w:t>Completed decision matrix signed by leadership</w:t>
      </w:r>
    </w:p>
    <w:p>
      <w:r>
        <w:br w:type="page"/>
      </w:r>
    </w:p>
    <w:p>
      <w:pPr>
        <w:pStyle w:val="Heading1"/>
      </w:pPr>
      <w:r>
        <w:t>Phase 1: Chair &amp; FWA Registration (Weeks 1–2)</w:t>
      </w:r>
    </w:p>
    <w:p>
      <w:pPr>
        <w:pStyle w:val="Heading2"/>
      </w:pPr>
      <w:r>
        <w:t>Step 4: Identify and Recruit an IRB Chair</w:t>
      </w:r>
    </w:p>
    <w:p>
      <w:r>
        <w:t>The Chair should ideally have research ethics experience or a strong research background. This person will lead committee meetings, oversee protocol reviews, and serve as the primary signatory on IRB decisions.</w:t>
      </w:r>
    </w:p>
    <w:p>
      <w:r>
        <w:rPr>
          <w:b/>
        </w:rPr>
        <w:t xml:space="preserve">Deliverable: </w:t>
      </w:r>
      <w:r>
        <w:t>Confirmed IRB Chair with signed appointment letter</w:t>
      </w:r>
    </w:p>
    <w:p>
      <w:pPr>
        <w:pStyle w:val="Heading2"/>
      </w:pPr>
      <w:r>
        <w:t>Step 5: Enroll Chair in CITI Training</w:t>
      </w:r>
    </w:p>
    <w:p>
      <w:r>
        <w:t>The Chair must complete CITI (Collaborative Institutional Training Initiative) certification before the IRB can operate. Enroll them immediately as this can take 1–2 weeks to complete. Register at https://about.citiprogram.org</w:t>
      </w:r>
    </w:p>
    <w:p>
      <w:r>
        <w:rPr>
          <w:b/>
        </w:rPr>
        <w:t xml:space="preserve">Deliverable: </w:t>
      </w:r>
      <w:r>
        <w:t>Chair's CITI certification completion certificate</w:t>
      </w:r>
    </w:p>
    <w:p>
      <w:pPr>
        <w:pStyle w:val="Heading2"/>
      </w:pPr>
      <w:r>
        <w:t>Step 6: Submit FWA Application</w:t>
      </w:r>
    </w:p>
    <w:p>
      <w:r>
        <w:t>The Federalwide Assurance (FWA) application is submitted to the Office for Human Research Protections (OHRP) at https://www.hhs.gov/ohrp. This is the CRITICAL PATH item — approval typically takes 4–6 weeks, so submit as early as possible.</w:t>
      </w:r>
    </w:p>
    <w:p>
      <w:pPr>
        <w:pStyle w:val="ListBullet"/>
      </w:pPr>
      <w:r>
        <w:t>FWA application requires:</w:t>
      </w:r>
    </w:p>
    <w:p>
      <w:pPr>
        <w:pStyle w:val="ListBullet2"/>
      </w:pPr>
      <w:r>
        <w:t>Institutional authorization (Step 1)</w:t>
      </w:r>
    </w:p>
    <w:p>
      <w:pPr>
        <w:pStyle w:val="ListBullet2"/>
      </w:pPr>
      <w:r>
        <w:t>Designated IRB Chair information</w:t>
      </w:r>
    </w:p>
    <w:p>
      <w:pPr>
        <w:pStyle w:val="ListBullet2"/>
      </w:pPr>
      <w:r>
        <w:t>Assurance of compliance with 45 CFR 46 (Common Rule)</w:t>
      </w:r>
    </w:p>
    <w:p>
      <w:pPr>
        <w:pStyle w:val="ListBullet2"/>
      </w:pPr>
      <w:r>
        <w:t>Description of the IRB composition plan</w:t>
      </w:r>
    </w:p>
    <w:p>
      <w:r>
        <w:rPr>
          <w:b/>
        </w:rPr>
        <w:t xml:space="preserve">Deliverable: </w:t>
      </w:r>
      <w:r>
        <w:t>FWA application confirmation/tracking number from OHRP</w:t>
      </w:r>
    </w:p>
    <w:p>
      <w:pPr>
        <w:pStyle w:val="Heading2"/>
      </w:pPr>
      <w:r>
        <w:t>Step 7: Draft Committee Recruitment List</w:t>
      </w:r>
    </w:p>
    <w:p>
      <w:r>
        <w:t>Federal regulations (45 CFR 46.107) require at least 5 members with the following composition:</w:t>
      </w:r>
    </w:p>
    <w:p>
      <w:pPr>
        <w:pStyle w:val="ListBullet"/>
      </w:pPr>
      <w:r>
        <w:t>At least 1 member whose primary expertise is in a scientific area</w:t>
      </w:r>
    </w:p>
    <w:p>
      <w:pPr>
        <w:pStyle w:val="ListBullet"/>
      </w:pPr>
      <w:r>
        <w:t>At least 1 member whose primary expertise is in a non-scientific area</w:t>
      </w:r>
    </w:p>
    <w:p>
      <w:pPr>
        <w:pStyle w:val="ListBullet"/>
      </w:pPr>
      <w:r>
        <w:t>At least 1 member who is not affiliated with the institution (community member)</w:t>
      </w:r>
    </w:p>
    <w:p>
      <w:pPr>
        <w:pStyle w:val="ListBullet"/>
      </w:pPr>
      <w:r>
        <w:t>Diversity in race, gender, cultural background, and sensitivity to community attitudes</w:t>
      </w:r>
    </w:p>
    <w:p>
      <w:r>
        <w:rPr>
          <w:b/>
        </w:rPr>
        <w:t xml:space="preserve">Deliverable: </w:t>
      </w:r>
      <w:r>
        <w:t>List of 7–10 potential members with contact info and expertise areas</w:t>
      </w:r>
    </w:p>
    <w:p>
      <w:r>
        <w:br w:type="page"/>
      </w:r>
    </w:p>
    <w:p>
      <w:pPr>
        <w:pStyle w:val="Heading1"/>
      </w:pPr>
      <w:r>
        <w:t>Phase 2: Committee &amp; Policies (Weeks 2–3)</w:t>
      </w:r>
    </w:p>
    <w:p>
      <w:pPr>
        <w:pStyle w:val="Heading2"/>
      </w:pPr>
      <w:r>
        <w:t>Step 8: Recruit and Confirm Committee Members</w:t>
      </w:r>
    </w:p>
    <w:p>
      <w:r>
        <w:t>Formally invite members from the recruitment list. Provide each with an appointment letter outlining their role, term length, meeting expectations, and any compensation. The community member may be the hardest to recruit — consider local clergy, community leaders, or retired professionals.</w:t>
      </w:r>
    </w:p>
    <w:p>
      <w:r>
        <w:rPr>
          <w:b/>
        </w:rPr>
        <w:t xml:space="preserve">Deliverable: </w:t>
      </w:r>
      <w:r>
        <w:t>Signed appointment letters from all 5+ committee members</w:t>
      </w:r>
    </w:p>
    <w:p>
      <w:pPr>
        <w:pStyle w:val="Heading2"/>
      </w:pPr>
      <w:r>
        <w:t>Step 9: Draft Core Policies (3 Minimum)</w:t>
      </w:r>
    </w:p>
    <w:p>
      <w:r>
        <w:t>The following policies are required before the IRB can operate:</w:t>
      </w:r>
    </w:p>
    <w:p>
      <w:pPr>
        <w:pStyle w:val="Heading3"/>
      </w:pPr>
      <w:r>
        <w:t>Review Categories Policy</w:t>
      </w:r>
    </w:p>
    <w:p>
      <w:r>
        <w:t>Define the three review levels: Exempt, Expedited, and Full Board review. Include criteria for each category per 45 CFR 46.104 and 46.110.</w:t>
      </w:r>
    </w:p>
    <w:p>
      <w:pPr>
        <w:pStyle w:val="Heading3"/>
      </w:pPr>
      <w:r>
        <w:t>Conflict of Interest (COI) Policy</w:t>
      </w:r>
    </w:p>
    <w:p>
      <w:r>
        <w:t>Address how conflicts are identified, disclosed, and managed. This is especially critical at a small institution where faculty may review colleagues' work.</w:t>
      </w:r>
    </w:p>
    <w:p>
      <w:pPr>
        <w:pStyle w:val="Heading3"/>
      </w:pPr>
      <w:r>
        <w:t>Adverse Events / Unanticipated Problems Policy</w:t>
      </w:r>
    </w:p>
    <w:p>
      <w:r>
        <w:t>Define reporting requirements, timelines, and response procedures for adverse events or unanticipated problems involving risk to subjects.</w:t>
      </w:r>
    </w:p>
    <w:p>
      <w:r>
        <w:rPr>
          <w:b/>
        </w:rPr>
        <w:t xml:space="preserve">Deliverable: </w:t>
      </w:r>
      <w:r>
        <w:t>Three approved policy documents</w:t>
      </w:r>
    </w:p>
    <w:p>
      <w:pPr>
        <w:pStyle w:val="Heading2"/>
      </w:pPr>
      <w:r>
        <w:t>Step 10: Create Protocol Submission Form</w:t>
      </w:r>
    </w:p>
    <w:p>
      <w:r>
        <w:t>This is the primary application form that researchers will complete to request IRB review. It should capture: project title, PI information, funding source, research design, subject population, risks/benefits, informed consent process, and data security plan.</w:t>
      </w:r>
    </w:p>
    <w:p>
      <w:r>
        <w:rPr>
          <w:b/>
        </w:rPr>
        <w:t xml:space="preserve">Deliverable: </w:t>
      </w:r>
      <w:r>
        <w:t>Finalized IRB Protocol Submission Form</w:t>
      </w:r>
    </w:p>
    <w:p>
      <w:pPr>
        <w:pStyle w:val="Heading2"/>
      </w:pPr>
      <w:r>
        <w:t>Step 11: Create Informed Consent Template</w:t>
      </w:r>
    </w:p>
    <w:p>
      <w:r>
        <w:t>Provide researchers with a standardized consent template that meets the requirements of 45 CFR 46.116. Include all required and applicable additional elements of consent.</w:t>
      </w:r>
    </w:p>
    <w:p>
      <w:r>
        <w:rPr>
          <w:b/>
        </w:rPr>
        <w:t xml:space="preserve">Deliverable: </w:t>
      </w:r>
      <w:r>
        <w:t>Informed Consent Document Template</w:t>
      </w:r>
    </w:p>
    <w:p>
      <w:r>
        <w:br w:type="page"/>
      </w:r>
    </w:p>
    <w:p>
      <w:pPr>
        <w:pStyle w:val="Heading1"/>
      </w:pPr>
      <w:r>
        <w:t>Phase 3: Infrastructure &amp; Training (Weeks 3–4)</w:t>
      </w:r>
    </w:p>
    <w:p>
      <w:pPr>
        <w:pStyle w:val="Heading2"/>
      </w:pPr>
      <w:r>
        <w:t>Step 12: Define the Review Workflow</w:t>
      </w:r>
    </w:p>
    <w:p>
      <w:r>
        <w:t>Map the complete lifecycle of a protocol submission from intake to final decision. Include: submission receipt, administrative pre-review, category determination, reviewer assignment, review process, decision notification, and appeals process.</w:t>
      </w:r>
    </w:p>
    <w:p>
      <w:r>
        <w:rPr>
          <w:b/>
        </w:rPr>
        <w:t xml:space="preserve">Deliverable: </w:t>
      </w:r>
      <w:r>
        <w:t>Review workflow diagram and written procedures</w:t>
      </w:r>
    </w:p>
    <w:p>
      <w:pPr>
        <w:pStyle w:val="Heading2"/>
      </w:pPr>
      <w:r>
        <w:t>Step 13: Set Up Recordkeeping System</w:t>
      </w:r>
    </w:p>
    <w:p>
      <w:r>
        <w:t>Establish a secure, organized system for maintaining all IRB records. Federal regulations require records to be retained for at least 3 years after study completion. Even a well-structured SharePoint or shared drive folder system works to start.</w:t>
      </w:r>
    </w:p>
    <w:p>
      <w:pPr>
        <w:pStyle w:val="ListBullet"/>
      </w:pPr>
      <w:r>
        <w:t>Required records include:</w:t>
      </w:r>
    </w:p>
    <w:p>
      <w:pPr>
        <w:pStyle w:val="ListBullet2"/>
      </w:pPr>
      <w:r>
        <w:t>Protocol submissions and all revisions</w:t>
      </w:r>
    </w:p>
    <w:p>
      <w:pPr>
        <w:pStyle w:val="ListBullet2"/>
      </w:pPr>
      <w:r>
        <w:t>IRB meeting minutes</w:t>
      </w:r>
    </w:p>
    <w:p>
      <w:pPr>
        <w:pStyle w:val="ListBullet2"/>
      </w:pPr>
      <w:r>
        <w:t>Correspondence with researchers</w:t>
      </w:r>
    </w:p>
    <w:p>
      <w:pPr>
        <w:pStyle w:val="ListBullet2"/>
      </w:pPr>
      <w:r>
        <w:t>Approval/disapproval letters</w:t>
      </w:r>
    </w:p>
    <w:p>
      <w:pPr>
        <w:pStyle w:val="ListBullet2"/>
      </w:pPr>
      <w:r>
        <w:t>Adverse event reports</w:t>
      </w:r>
    </w:p>
    <w:p>
      <w:pPr>
        <w:pStyle w:val="ListBullet2"/>
      </w:pPr>
      <w:r>
        <w:t>Member rosters and training records</w:t>
      </w:r>
    </w:p>
    <w:p>
      <w:r>
        <w:rPr>
          <w:b/>
        </w:rPr>
        <w:t xml:space="preserve">Deliverable: </w:t>
      </w:r>
      <w:r>
        <w:t>Organized folder structure with naming conventions documented</w:t>
      </w:r>
    </w:p>
    <w:p>
      <w:pPr>
        <w:pStyle w:val="Heading2"/>
      </w:pPr>
      <w:r>
        <w:t>Step 14: Enroll All Committee Members in CITI Training</w:t>
      </w:r>
    </w:p>
    <w:p>
      <w:r>
        <w:t>All IRB members should complete relevant CITI modules. At minimum, members should complete the IRB Members module and the Human Subjects Research (HSR) module.</w:t>
      </w:r>
    </w:p>
    <w:p>
      <w:r>
        <w:rPr>
          <w:b/>
        </w:rPr>
        <w:t xml:space="preserve">Deliverable: </w:t>
      </w:r>
      <w:r>
        <w:t>CITI completion certificates for all committee members</w:t>
      </w:r>
    </w:p>
    <w:p>
      <w:pPr>
        <w:pStyle w:val="Heading2"/>
      </w:pPr>
      <w:r>
        <w:t>Step 15: Build Researcher-Facing Web Presence</w:t>
      </w:r>
    </w:p>
    <w:p>
      <w:r>
        <w:t>Create a webpage or site that serves as the central hub for researchers. This should include: training requirements, downloadable forms, submission instructions, FAQs, meeting schedule, and contact information. This can be hosted on an existing Wiley platform or a Netlify site.</w:t>
      </w:r>
    </w:p>
    <w:p>
      <w:r>
        <w:rPr>
          <w:b/>
        </w:rPr>
        <w:t xml:space="preserve">Deliverable: </w:t>
      </w:r>
      <w:r>
        <w:t>Published IRB website with all forms and instructions</w:t>
      </w:r>
    </w:p>
    <w:p>
      <w:pPr>
        <w:pStyle w:val="Heading2"/>
      </w:pPr>
      <w:r>
        <w:t>Step 16: Conduct a Mock Review</w:t>
      </w:r>
    </w:p>
    <w:p>
      <w:r>
        <w:t>Before going live, run the full committee through a mock protocol review. Use a fictional or sample protocol to test: the submission form, the review workflow, committee discussion process, and decision documentation. This builds confidence and identifies gaps in your process.</w:t>
      </w:r>
    </w:p>
    <w:p>
      <w:r>
        <w:rPr>
          <w:b/>
        </w:rPr>
        <w:t xml:space="preserve">Deliverable: </w:t>
      </w:r>
      <w:r>
        <w:t>Completed mock review with documented lessons learned</w:t>
      </w:r>
    </w:p>
    <w:p>
      <w:r>
        <w:br w:type="page"/>
      </w:r>
    </w:p>
    <w:p>
      <w:pPr>
        <w:pStyle w:val="Heading1"/>
      </w:pPr>
      <w:r>
        <w:t>Phase 4: Launch (Weeks 5–6)</w:t>
      </w:r>
    </w:p>
    <w:p>
      <w:pPr>
        <w:pStyle w:val="Heading2"/>
      </w:pPr>
      <w:r>
        <w:t>Step 17: Soft Launch</w:t>
      </w:r>
    </w:p>
    <w:p>
      <w:r>
        <w:t>Accept the first 1–2 real protocol submissions. Walk them through the full process with extra care and attention. Use these initial submissions to refine your workflow before opening to the full campus.</w:t>
      </w:r>
    </w:p>
    <w:p>
      <w:pPr>
        <w:pStyle w:val="Heading2"/>
      </w:pPr>
      <w:r>
        <w:t>Step 18: Hold First Official IRB Meeting</w:t>
      </w:r>
    </w:p>
    <w:p>
      <w:r>
        <w:t>Convene the full board for the first official meeting. Establish meeting norms, review the first protocols, and document meeting minutes per federal requirements.</w:t>
      </w:r>
    </w:p>
    <w:p>
      <w:pPr>
        <w:pStyle w:val="Heading2"/>
      </w:pPr>
      <w:r>
        <w:t>Step 19: Publish Researcher Training Requirements</w:t>
      </w:r>
    </w:p>
    <w:p>
      <w:r>
        <w:t>Announce campus-wide that all research involving human subjects now requires IRB review. Publish the training requirements (typically CITI certification) and deadlines for compliance.</w:t>
      </w:r>
    </w:p>
    <w:p>
      <w:pPr>
        <w:pStyle w:val="Heading2"/>
      </w:pPr>
      <w:r>
        <w:t>Step 20: Full Operations</w:t>
      </w:r>
    </w:p>
    <w:p>
      <w:r>
        <w:t>Open the IRB for all submissions. Establish a regular meeting cadence (monthly recommended to start). Monitor workload and adjust processes as needed.</w:t>
      </w:r>
    </w:p>
    <w:p>
      <w:r>
        <w:rPr>
          <w:b/>
        </w:rPr>
        <w:t xml:space="preserve">Phase 4 Deliverables: </w:t>
      </w:r>
      <w:r>
        <w:t>Operational IRB with documented first meeting minutes and approval letters</w:t>
      </w:r>
    </w:p>
    <w:p>
      <w:r>
        <w:br w:type="page"/>
      </w:r>
    </w:p>
    <w:p>
      <w:pPr>
        <w:pStyle w:val="Heading1"/>
      </w:pPr>
      <w:r>
        <w:t>Minimum Requirements for Launch</w:t>
      </w:r>
    </w:p>
    <w:p>
      <w:pPr>
        <w:pStyle w:val="ListBullet"/>
      </w:pPr>
      <w:r>
        <w:t>FWA application submitted to OHRP</w:t>
      </w:r>
    </w:p>
    <w:p>
      <w:pPr>
        <w:pStyle w:val="ListBullet"/>
      </w:pPr>
      <w:r>
        <w:t>5+ committee members (including non-scientist &amp; community member)</w:t>
      </w:r>
    </w:p>
    <w:p>
      <w:pPr>
        <w:pStyle w:val="ListBullet"/>
      </w:pPr>
      <w:r>
        <w:t>CITI-certified Chair</w:t>
      </w:r>
    </w:p>
    <w:p>
      <w:pPr>
        <w:pStyle w:val="ListBullet"/>
      </w:pPr>
      <w:r>
        <w:t>Basic policies (review categories, COI, adverse events)</w:t>
      </w:r>
    </w:p>
    <w:p>
      <w:pPr>
        <w:pStyle w:val="ListBullet"/>
      </w:pPr>
      <w:r>
        <w:t>Protocol submission forms &amp; consent template</w:t>
      </w:r>
    </w:p>
    <w:p>
      <w:pPr>
        <w:pStyle w:val="ListBullet"/>
      </w:pPr>
      <w:r>
        <w:t>Defined review workflow</w:t>
      </w:r>
    </w:p>
    <w:p>
      <w:pPr>
        <w:pStyle w:val="ListBullet"/>
      </w:pPr>
      <w:r>
        <w:t>Recordkeeping system</w:t>
      </w:r>
    </w:p>
    <w:p>
      <w:pPr>
        <w:pStyle w:val="ListBullet"/>
      </w:pPr>
      <w:r>
        <w:t>Published researcher training requirements</w:t>
      </w:r>
    </w:p>
    <w:p>
      <w:pPr>
        <w:pStyle w:val="Heading1"/>
      </w:pPr>
      <w:r>
        <w:t>Key Contacts &amp; Resources</w:t>
      </w:r>
    </w:p>
    <w:tbl>
      <w:tblPr>
        <w:tblStyle w:val="LightGrid-Accent1"/>
        <w:tblW w:type="auto" w:w="0"/>
        <w:tblLook w:firstColumn="1" w:firstRow="1" w:lastColumn="0" w:lastRow="0" w:noHBand="0" w:noVBand="1" w:val="04A0"/>
      </w:tblPr>
      <w:tblGrid>
        <w:gridCol w:w="4320"/>
        <w:gridCol w:w="4320"/>
      </w:tblGrid>
      <w:tr>
        <w:tc>
          <w:tcPr>
            <w:tcW w:type="dxa" w:w="4320"/>
          </w:tcPr>
          <w:p>
            <w:r>
              <w:t>Resource</w:t>
            </w:r>
          </w:p>
        </w:tc>
        <w:tc>
          <w:tcPr>
            <w:tcW w:type="dxa" w:w="4320"/>
          </w:tcPr>
          <w:p>
            <w:r>
              <w:t>URL / Reference</w:t>
            </w:r>
          </w:p>
        </w:tc>
      </w:tr>
      <w:tr>
        <w:tc>
          <w:tcPr>
            <w:tcW w:type="dxa" w:w="4320"/>
          </w:tcPr>
          <w:p>
            <w:r>
              <w:t>OHRP (FWA Registration)</w:t>
            </w:r>
          </w:p>
        </w:tc>
        <w:tc>
          <w:tcPr>
            <w:tcW w:type="dxa" w:w="4320"/>
          </w:tcPr>
          <w:p>
            <w:r>
              <w:t>https://www.hhs.gov/ohrp</w:t>
            </w:r>
          </w:p>
        </w:tc>
      </w:tr>
      <w:tr>
        <w:tc>
          <w:tcPr>
            <w:tcW w:type="dxa" w:w="4320"/>
          </w:tcPr>
          <w:p>
            <w:r>
              <w:t>CITI Program</w:t>
            </w:r>
          </w:p>
        </w:tc>
        <w:tc>
          <w:tcPr>
            <w:tcW w:type="dxa" w:w="4320"/>
          </w:tcPr>
          <w:p>
            <w:r>
              <w:t>https://about.citiprogram.org</w:t>
            </w:r>
          </w:p>
        </w:tc>
      </w:tr>
      <w:tr>
        <w:tc>
          <w:tcPr>
            <w:tcW w:type="dxa" w:w="4320"/>
          </w:tcPr>
          <w:p>
            <w:r>
              <w:t>PRIM&amp;R</w:t>
            </w:r>
          </w:p>
        </w:tc>
        <w:tc>
          <w:tcPr>
            <w:tcW w:type="dxa" w:w="4320"/>
          </w:tcPr>
          <w:p>
            <w:r>
              <w:t>https://primr.org</w:t>
            </w:r>
          </w:p>
        </w:tc>
      </w:tr>
      <w:tr>
        <w:tc>
          <w:tcPr>
            <w:tcW w:type="dxa" w:w="4320"/>
          </w:tcPr>
          <w:p>
            <w:r>
              <w:t>Common Rule</w:t>
            </w:r>
          </w:p>
        </w:tc>
        <w:tc>
          <w:tcPr>
            <w:tcW w:type="dxa" w:w="4320"/>
          </w:tcPr>
          <w:p>
            <w:r>
              <w:t>45 CFR 46</w:t>
            </w:r>
          </w:p>
        </w:tc>
      </w:tr>
    </w:tbl>
    <w:p>
      <w:pPr>
        <w:pStyle w:val="Heading1"/>
      </w:pPr>
      <w:r>
        <w:t>Estimated Budget (Year 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Low Estimate</w:t>
            </w:r>
          </w:p>
        </w:tc>
        <w:tc>
          <w:tcPr>
            <w:tcW w:type="dxa" w:w="2880"/>
          </w:tcPr>
          <w:p>
            <w:r>
              <w:t>High Estimate</w:t>
            </w:r>
          </w:p>
        </w:tc>
      </w:tr>
      <w:tr>
        <w:tc>
          <w:tcPr>
            <w:tcW w:type="dxa" w:w="2880"/>
          </w:tcPr>
          <w:p>
            <w:r>
              <w:t>CITI Subscription</w:t>
            </w:r>
          </w:p>
        </w:tc>
        <w:tc>
          <w:tcPr>
            <w:tcW w:type="dxa" w:w="2880"/>
          </w:tcPr>
          <w:p>
            <w:r>
              <w:t>$1,500</w:t>
            </w:r>
          </w:p>
        </w:tc>
        <w:tc>
          <w:tcPr>
            <w:tcW w:type="dxa" w:w="2880"/>
          </w:tcPr>
          <w:p>
            <w:r>
              <w:t>$3,000</w:t>
            </w:r>
          </w:p>
        </w:tc>
      </w:tr>
      <w:tr>
        <w:tc>
          <w:tcPr>
            <w:tcW w:type="dxa" w:w="2880"/>
          </w:tcPr>
          <w:p>
            <w:r>
              <w:t>Chair Stipend</w:t>
            </w:r>
          </w:p>
        </w:tc>
        <w:tc>
          <w:tcPr>
            <w:tcW w:type="dxa" w:w="2880"/>
          </w:tcPr>
          <w:p>
            <w:r>
              <w:t>$2,000</w:t>
            </w:r>
          </w:p>
        </w:tc>
        <w:tc>
          <w:tcPr>
            <w:tcW w:type="dxa" w:w="2880"/>
          </w:tcPr>
          <w:p>
            <w:r>
              <w:t>$5,000</w:t>
            </w:r>
          </w:p>
        </w:tc>
      </w:tr>
      <w:tr>
        <w:tc>
          <w:tcPr>
            <w:tcW w:type="dxa" w:w="2880"/>
          </w:tcPr>
          <w:p>
            <w:r>
              <w:t>Community Member Honorarium</w:t>
            </w:r>
          </w:p>
        </w:tc>
        <w:tc>
          <w:tcPr>
            <w:tcW w:type="dxa" w:w="2880"/>
          </w:tcPr>
          <w:p>
            <w:r>
              <w:t>$500</w:t>
            </w:r>
          </w:p>
        </w:tc>
        <w:tc>
          <w:tcPr>
            <w:tcW w:type="dxa" w:w="2880"/>
          </w:tcPr>
          <w:p>
            <w:r>
              <w:t>$2,000</w:t>
            </w:r>
          </w:p>
        </w:tc>
      </w:tr>
      <w:tr>
        <w:tc>
          <w:tcPr>
            <w:tcW w:type="dxa" w:w="2880"/>
          </w:tcPr>
          <w:p>
            <w:r>
              <w:t>IRB Software (optional)</w:t>
            </w:r>
          </w:p>
        </w:tc>
        <w:tc>
          <w:tcPr>
            <w:tcW w:type="dxa" w:w="2880"/>
          </w:tcPr>
          <w:p>
            <w:r>
              <w:t>$0</w:t>
            </w:r>
          </w:p>
        </w:tc>
        <w:tc>
          <w:tcPr>
            <w:tcW w:type="dxa" w:w="2880"/>
          </w:tcPr>
          <w:p>
            <w:r>
              <w:t>$5,000</w:t>
            </w:r>
          </w:p>
        </w:tc>
      </w:tr>
      <w:tr>
        <w:tc>
          <w:tcPr>
            <w:tcW w:type="dxa" w:w="2880"/>
          </w:tcPr>
          <w:p>
            <w:r>
              <w:t>Training &amp; Supplies</w:t>
            </w:r>
          </w:p>
        </w:tc>
        <w:tc>
          <w:tcPr>
            <w:tcW w:type="dxa" w:w="2880"/>
          </w:tcPr>
          <w:p>
            <w:r>
              <w:t>$1,000</w:t>
            </w:r>
          </w:p>
        </w:tc>
        <w:tc>
          <w:tcPr>
            <w:tcW w:type="dxa" w:w="2880"/>
          </w:tcPr>
          <w:p>
            <w:r>
              <w:t>$3,000</w:t>
            </w:r>
          </w:p>
        </w:tc>
      </w:tr>
      <w:tr>
        <w:tc>
          <w:tcPr>
            <w:tcW w:type="dxa" w:w="2880"/>
          </w:tcPr>
          <w:p>
            <w:r>
              <w:t>Miscellaneous</w:t>
            </w:r>
          </w:p>
        </w:tc>
        <w:tc>
          <w:tcPr>
            <w:tcW w:type="dxa" w:w="2880"/>
          </w:tcPr>
          <w:p>
            <w:r>
              <w:t>$2,000</w:t>
            </w:r>
          </w:p>
        </w:tc>
        <w:tc>
          <w:tcPr>
            <w:tcW w:type="dxa" w:w="2880"/>
          </w:tcPr>
          <w:p>
            <w:r>
              <w:t>$4,000</w:t>
            </w:r>
          </w:p>
        </w:tc>
      </w:tr>
      <w:tr>
        <w:tc>
          <w:tcPr>
            <w:tcW w:type="dxa" w:w="2880"/>
          </w:tcPr>
          <w:p>
            <w:r>
              <w:t>TOTAL</w:t>
            </w:r>
          </w:p>
        </w:tc>
        <w:tc>
          <w:tcPr>
            <w:tcW w:type="dxa" w:w="2880"/>
          </w:tcPr>
          <w:p>
            <w:r>
              <w:t>$7,000</w:t>
            </w:r>
          </w:p>
        </w:tc>
        <w:tc>
          <w:tcPr>
            <w:tcW w:type="dxa" w:w="2880"/>
          </w:tcPr>
          <w:p>
            <w:r>
              <w:t>$22,000</w:t>
            </w:r>
          </w:p>
        </w:tc>
      </w:tr>
    </w:tbl>
    <w:p>
      <w:pPr>
        <w:pStyle w:val="Heading1"/>
      </w:pPr>
      <w:r>
        <w:t>Top Risks</w:t>
      </w:r>
    </w:p>
    <w:p>
      <w:pPr>
        <w:pStyle w:val="ListBullet"/>
      </w:pPr>
      <w:r>
        <w:t>FWA approval delay (4–6 weeks typical)</w:t>
      </w:r>
    </w:p>
    <w:p>
      <w:pPr>
        <w:pStyle w:val="ListBullet"/>
      </w:pPr>
      <w:r>
        <w:t>Community member recruitment difficulty</w:t>
      </w:r>
    </w:p>
    <w:p>
      <w:pPr>
        <w:pStyle w:val="ListBullet"/>
      </w:pPr>
      <w:r>
        <w:t>Faculty resistance to oversight</w:t>
      </w:r>
    </w:p>
    <w:p>
      <w:pPr>
        <w:pStyle w:val="ListBullet"/>
      </w:pPr>
      <w:r>
        <w:t>Small campus conflict of interest issues</w:t>
      </w:r>
    </w:p>
    <w:p>
      <w:pPr>
        <w:pStyle w:val="ListBullet"/>
      </w:pPr>
      <w:r>
        <w:t>Student thesis volume overwhelming capacity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