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adjustRightInd w:val="0"/>
        <w:snapToGrid w:val="0"/>
        <w:jc w:val="left"/>
        <w:rPr>
          <w:rFonts w:hint="eastAsia" w:ascii="Times New Roman" w:hAnsi="Times New Roman" w:eastAsia="黑体" w:cs="ArialUnicodeMS"/>
          <w:kern w:val="0"/>
          <w:sz w:val="32"/>
          <w:szCs w:val="32"/>
          <w:lang w:eastAsia="zh-CN"/>
        </w:rPr>
      </w:pPr>
      <w:r>
        <w:rPr>
          <w:rFonts w:hint="eastAsia" w:ascii="Times New Roman" w:hAnsi="Times New Roman" w:eastAsia="黑体" w:cs="ArialUnicodeMS"/>
          <w:kern w:val="0"/>
          <w:sz w:val="32"/>
          <w:szCs w:val="32"/>
        </w:rPr>
        <w:t>附件</w:t>
      </w:r>
      <w:r>
        <w:rPr>
          <w:rFonts w:hint="eastAsia" w:ascii="Times New Roman" w:hAnsi="Times New Roman" w:eastAsia="黑体" w:cs="ArialUnicodeMS"/>
          <w:kern w:val="0"/>
          <w:sz w:val="32"/>
          <w:szCs w:val="3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 w:val="0"/>
        <w:autoSpaceDN w:val="0"/>
        <w:bidi w:val="0"/>
        <w:adjustRightInd w:val="0"/>
        <w:snapToGrid w:val="0"/>
        <w:jc w:val="left"/>
        <w:rPr>
          <w:rFonts w:hint="eastAsia" w:ascii="Times New Roman" w:hAnsi="Times New Roman" w:eastAsia="黑体" w:cs="ArialUnicodeMS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00" w:line="240" w:lineRule="auto"/>
        <w:jc w:val="center"/>
        <w:textAlignment w:val="auto"/>
        <w:rPr>
          <w:rFonts w:hint="eastAsia" w:ascii="宋体" w:hAnsi="宋体" w:eastAsia="宋体" w:cs="宋体"/>
          <w:kern w:val="0"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kern w:val="0"/>
          <w:sz w:val="44"/>
          <w:szCs w:val="44"/>
        </w:rPr>
        <w:t>202</w:t>
      </w:r>
      <w:r>
        <w:rPr>
          <w:rFonts w:hint="eastAsia" w:ascii="宋体" w:hAnsi="宋体" w:eastAsia="宋体" w:cs="宋体"/>
          <w:kern w:val="0"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kern w:val="0"/>
          <w:sz w:val="44"/>
          <w:szCs w:val="44"/>
        </w:rPr>
        <w:t>年</w:t>
      </w:r>
      <w:r>
        <w:rPr>
          <w:rFonts w:hint="eastAsia" w:ascii="宋体" w:hAnsi="宋体" w:eastAsia="宋体" w:cs="宋体"/>
          <w:kern w:val="0"/>
          <w:sz w:val="44"/>
          <w:szCs w:val="44"/>
          <w:lang w:eastAsia="zh-CN"/>
        </w:rPr>
        <w:t>杭州市</w:t>
      </w:r>
      <w:r>
        <w:rPr>
          <w:rFonts w:hint="eastAsia" w:ascii="宋体" w:hAnsi="宋体" w:eastAsia="宋体" w:cs="宋体"/>
          <w:kern w:val="0"/>
          <w:sz w:val="44"/>
          <w:szCs w:val="44"/>
        </w:rPr>
        <w:t>企业技术中心</w:t>
      </w:r>
      <w:r>
        <w:rPr>
          <w:rFonts w:hint="eastAsia" w:ascii="宋体" w:hAnsi="宋体" w:eastAsia="宋体" w:cs="宋体"/>
          <w:kern w:val="0"/>
          <w:sz w:val="44"/>
          <w:szCs w:val="44"/>
          <w:lang w:eastAsia="zh-CN"/>
        </w:rPr>
        <w:t>复评</w:t>
      </w:r>
      <w:r>
        <w:rPr>
          <w:rFonts w:hint="eastAsia" w:ascii="宋体" w:hAnsi="宋体" w:eastAsia="宋体" w:cs="宋体"/>
          <w:kern w:val="0"/>
          <w:sz w:val="44"/>
          <w:szCs w:val="44"/>
        </w:rPr>
        <w:t>名单</w:t>
      </w:r>
    </w:p>
    <w:bookmarkEnd w:id="0"/>
    <w:tbl>
      <w:tblPr>
        <w:tblStyle w:val="2"/>
        <w:tblW w:w="4998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"/>
        <w:gridCol w:w="5820"/>
        <w:gridCol w:w="17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tblHeader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  <w:lang w:eastAsia="zh-CN"/>
              </w:rPr>
              <w:t>企业技术中心所在企业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8"/>
                <w:szCs w:val="28"/>
                <w:lang w:eastAsia="zh-CN"/>
              </w:rPr>
              <w:t>地区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杭州图强工程材料有限公司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上城区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东通岩土科技股份有限公司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上城区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杭州平治信息技术股份有限公司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上城区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杭州金通科技集团股份有限公司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上城区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杭州东城电子有限公司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上城区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杭州市化工研究院有限公司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杭州天丰电源股份有限公司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杭州汽轮机械设备有限公司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利尔达科技集团股份有限公司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浙江托普云农科技股份有限公司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杭州中奥科技有限公司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浙江新亚医疗科技股份有限公司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航天科工广信智能技术有限公司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中检质技检验检测科学研究院有限公司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浙江宇联信息发展有限公司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拱墅区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杭州碱泵有限公司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中汽商用汽车有限公司（杭州）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杭州艾迪康医学检验中心有限公司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十九楼网络股份有限公司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杰华特微电子股份有限公司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杭州集智机电股份有限公司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浙江养生堂天然药物研究所有限公司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英飞拓（杭州）信息系统技术有限公司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杭州城市大脑有限公司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浙江交科工程检测有限公司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浙江南都能源互联网有限公司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杭州飞步科技有限公司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杭州中电天恒电力科技有限公司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浙江华通云数据科技有限公司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浙江问源环保科技股份有限公司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浙江方大智控科技有限公司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浙江远图技术股份有限公司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杭州莱宸科技有限公司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西湖区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杭州士兰微电子股份有限公司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杭州开源电脑技术有限公司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浙江中正智能科技有限公司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杭州姚生记食品有限公司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杭州华东医药集团新药研究院有限公司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浙江网新恒天软件有限公司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杭州奥能电源设备有限公司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杭州中威电子股份有限公司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蓝天环保设备工程股份有限公司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浙江远望信息股份有限公司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浙江威力克通信股份有限公司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浙江泰林生物技术股份有限公司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杭州易和网络有限公司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浙江好络维医疗技术有限公司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浙江大华系统工程有限公司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医惠科技有限公司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杭州东方通信软件技术有限公司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贝因美股份有限公司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浙江浩普环保工程有限公司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杭州优迈科技有限公司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杭州东信北邮信息技术有限公司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杭州康恩贝制药有限公司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华数传媒网络有限公司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杭州天谷信息科技有限公司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杭州海康消防科技有限公司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杭州广立微电子股份有限公司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杭州海康慧影科技有限公司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浙江甲骨文超级码科技股份有限公司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税友信息技术有限公司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杭州华橙软件技术有限公司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杭州安脉盛智能技术有限公司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杭州健海科技有限公司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浙江泰林医学工程有限公司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浙江夕尔科技有限公司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浙江时空道宇科技有限公司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品茗科技股份有限公司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杭州领芯微电子有限公司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杭州萤石软件有限公司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杭州协能科技股份有限公司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杭州熙菱信息技术有限公司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杭州视芯科技股份有限公司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纳里健康科技有限公司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浙江科正电子信息产品检验有限公司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浙江中控研究院有限公司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滨江区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杭州青云控股集团有限公司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杭州福莱特塑料开发有限公司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杭州福恩纺织有限公司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杭州美高华颐化工有限公司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杭州江南电机股份有限公司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杭州汇维仕永盛染整有限公司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浙江华瑞信息资讯股份有限公司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杭州前进锻造有限公司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杭州中车车辆有限公司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杭州禾呈科技股份有限公司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浙江南化防腐设备有限公司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杭州行至云起科技有限公司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易加三维增材技术（杭州）有限公司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浙江三元纺织有限公司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杭州恒宏机械有限公司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杭州华澜微电子股份有限公司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杭州杰途传动部件有限公司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杭州开源环保工程有限公司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松研科技（杭州）有限公司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碧空环境科技有限公司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杭州龙升纺织有限公司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杭州奥创光子技术有限公司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浙江地芯引力科技有限公司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云尖信息技术有限公司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浙江施朗龙山工程设计有限公司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萧山区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浙江中新电力发展集团有限公司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萧山区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杭州高新橡塑材料股份有限公司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杭州海虹精细化工有限公司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杭州康德权饲料有限公司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杭州星华反光材料股份有限公司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杭州杭科光电集团股份有限公司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双枪科技股份有限公司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浙江厚达智能科技股份有限公司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杭州五星铝业有限公司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浙江恒强科技股份有限公司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浙江麦迪制冷科技股份有限公司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杭州九龙机械制造有限公司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杭州万全金属软管有限公司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杭州晟元数据安全技术股份有限公司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杭州墨泰科技股份有限公司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杭州瑞普基因科技有限公司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杭州优稳自动化系统有限公司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浙江日风电气股份有限公司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浙江大搜车软件技术有限公司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杭州高烯科技有限公司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杭州罗孚音响有限公司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申能环境科技有限公司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杭州图软科技有限公司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浙江鹏远新材料科技集团股份有限公司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浙江埃柯赛环境科技股份有限公司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杭州普安科技有限公司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杭州之山智控技术有限公司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杭州茗宝生物科技有限公司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杭州深睿博联科技有限公司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杭州骏跃科技有限公司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杭州玳数科技有限公司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杭州默安科技有限公司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杭州威仕达机电科技有限公司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杭州翔泰电器有限公司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浙江飞图影像科技有限公司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浙江凡双科技有限公司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浙江大合检测有限公司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杭州久益机械股份有限公司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杭州钱江称重技术有限公司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杭州诠世传动有限公司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浙江沃乐环境科技有限公司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浙江星汉信息技术股份有限公司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杭州盈江机械制造有限公司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浙江华意科技有限公司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浙江新余宏智能装备有限公司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杭州云动智能汽车技术有限公司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杭州百隆电子有限公司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杭州干将实业有限公司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杭州赛基生物科技有限公司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杭州杰毅生物技术有限公司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杭州迪安生物技术有限公司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浙江飞碟汽车制造有限公司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杭州龙席网络科技股份有限公司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浙江卓锐科技股份有限公司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浙江海普顿新材料股份有限公司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余杭区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杭州国能汽轮工程有限公司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浙江美术地毯制造有限公司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浙江四通新材料科技股份有限公司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浙江米居梦家纺股份有限公司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34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杭州德曼汽车零部件有限公司</w:t>
            </w:r>
          </w:p>
        </w:tc>
        <w:tc>
          <w:tcPr>
            <w:tcW w:w="10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杭州海的动力机械股份有限公司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杭州朱炳仁文化艺术有限公司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杭州明特科技有限公司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杭州飞仕得科技有限公司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杭州微策生物技术股份有限公司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杭州仁德医药有限公司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杭州安杰思医学科技股份有限公司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杭州华葵金配生物科技有限公司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杭州泰姆电气有限公司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浙江立镖机器人有限公司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浙江翌星包装科技有限公司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杭州安泊家居有限公司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浙江康莱特药业有限公司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杭州澳亚生物技术股份有限公司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杭州利群环保纸业有限公司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杭州爱知工程车辆有限公司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浙江爱生药业有限公司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中肽生化有限公司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341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泰尔茂医疗产品（杭州）有限公司</w:t>
            </w:r>
          </w:p>
        </w:tc>
        <w:tc>
          <w:tcPr>
            <w:tcW w:w="10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奥普家居股份有限公司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史陶比尔（杭州）精密机械电子有限公司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怡得乐电子（杭州）有限公司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杭州恒业电机制造有限公司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杭州金松优诺电器有限公司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杭州龙鑫科技有限公司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杭州朝阳橡胶有限公司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杭州宝伟汽车零部件有限公司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杭州之江新材料有限公司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远大住宅工业（杭州）有限公司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杭州中科极光科技有限公司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杭州圣石科技股份有限公司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杭州纸友科技有限公司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杭州中欣晶圆半导体股份有限公司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格力电器（杭州）有限公司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杭州奕安济世生物药业有限公司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杭州楠大环保科技有限公司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杭州百迈生物股份有限公司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杭州新世宝电动转向系统有限公司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杭州大德克塑料有限公司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杭州峰景科技有限公司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杭州赞宇油脂科技有限公司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钱塘区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杭州盛大高科技机电有限公司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杭州兴发弹簧有限公司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杭州富春江水电设备有限公司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浙江尤恩叉车股份有限公司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浙江华丰新材料股份有限公司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杭州佳能阀门有限公司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杭州图南电子股份有限公司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浙江富通光纤技术有限公司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杭州华宏通信设备有限公司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杭州华鹰游艇有限公司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杭州普乐科技有限公司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杭州雄迈集成电路技术股份有限公司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浙江金鑫钢结构集团有限公司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浙江泰林生命科学有限公司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浙江恒达仪器仪表股份有限公司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杭州摩科智能互联有限公司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富阳区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浙江美格机械股份有限公司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杭州杭氧低温液化设备有限公司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杭州临安东方滑动轴承有限公司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杭州可艾个人护理用品有限公司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悉奥控股有限公司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浙江帝龙新材料有限公司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杭州纳美智康科技有限公司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杭州杭氧膨胀机有限公司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临安区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杭州光典医疗器械有限公司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杭州桐庐时空候医疗器械有限公司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浙江金贝能源科技有限公司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杭州科德磁业有限公司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杭州湘滨电子科技有限公司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杭州芬麦特机械有限公司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桐庐县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杭州千岛湖发展集团有限公司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淳安县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杭州紫光网络技术有限公司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淳安县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浙江远算科技有限公司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淳安县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建德市五星车业有限公司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建德市远丰工具有限公司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杭州福斯特药业有限公司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杭州澳赛诺生物科技有限公司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overflowPunct/>
              <w:topLinePunct w:val="0"/>
              <w:bidi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34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浙江普林艾尔电器工业有限公司</w:t>
            </w:r>
          </w:p>
        </w:tc>
        <w:tc>
          <w:tcPr>
            <w:tcW w:w="10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建德市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000000"/>
          <w:kern w:val="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仿宋_GB2312" w:cs="仿宋_GB2312"/>
          <w:color w:val="000000"/>
          <w:kern w:val="0"/>
          <w:sz w:val="28"/>
          <w:szCs w:val="28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NzJlNzI5ZjQ2OWE0YTljZTAzNGQ1OTY5MjJhOWUifQ=="/>
  </w:docVars>
  <w:rsids>
    <w:rsidRoot w:val="15CD1F37"/>
    <w:rsid w:val="15C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2024-05-08T07:36:00Z</dcterms:created>
  <dc:creator>汪株燚</dc:creator>
  <cp:lastModifiedBy>汪株燚</cp:lastModifiedBy>
  <dcterms:modified xsi:type="dcterms:W3CDTF">2024-05-08T07:36:19Z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1843C8AE167847788565873F564F887F_11</vt:lpwstr>
  </property>
</Properties>
</file>