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5D0" w:rsidRDefault="002B75D0" w:rsidP="002B75D0">
      <w:pPr>
        <w:pStyle w:val="Title"/>
      </w:pPr>
      <w:r>
        <w:t>Arun Nekkalapudi [anekkal]</w:t>
      </w:r>
    </w:p>
    <w:p w:rsidR="002B75D0" w:rsidRDefault="002B75D0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  <w:u w:val="single"/>
        </w:rPr>
      </w:pPr>
    </w:p>
    <w:p w:rsidR="002B75D0" w:rsidRDefault="002B75D0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  <w:u w:val="single"/>
        </w:rPr>
      </w:pPr>
    </w:p>
    <w:p w:rsidR="008C07DB" w:rsidRDefault="00334A97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  <w:u w:val="single"/>
        </w:rPr>
      </w:pPr>
      <w:r w:rsidRPr="00ED359E">
        <w:rPr>
          <w:rFonts w:ascii="Times-Roman" w:hAnsi="Times-Roman" w:cs="Times-Roman"/>
          <w:b/>
          <w:sz w:val="24"/>
          <w:szCs w:val="24"/>
          <w:u w:val="single"/>
        </w:rPr>
        <w:t>Short query</w:t>
      </w:r>
    </w:p>
    <w:p w:rsidR="00ED359E" w:rsidRDefault="00ED359E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  <w:u w:val="single"/>
        </w:rPr>
      </w:pPr>
    </w:p>
    <w:p w:rsidR="00ED359E" w:rsidRPr="00ED359E" w:rsidRDefault="00ED359E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3288" w:rsidTr="003A3D10">
        <w:trPr>
          <w:trHeight w:val="720"/>
        </w:trPr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Evaluation Metric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Your algorithm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Vector Space Model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BM25</w:t>
            </w:r>
          </w:p>
        </w:tc>
        <w:tc>
          <w:tcPr>
            <w:tcW w:w="1559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 model with Dirichlet Smoothing</w:t>
            </w:r>
          </w:p>
        </w:tc>
        <w:tc>
          <w:tcPr>
            <w:tcW w:w="1559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 Model with Jelinek Mercer Smoothing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P@5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0.2000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0.4000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0.6000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0.6000</w:t>
            </w:r>
          </w:p>
        </w:tc>
        <w:tc>
          <w:tcPr>
            <w:tcW w:w="1559" w:type="dxa"/>
          </w:tcPr>
          <w:p w:rsidR="00C63288" w:rsidRPr="002A2AB4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Cs w:val="24"/>
              </w:rPr>
            </w:pPr>
            <w:r>
              <w:rPr>
                <w:rFonts w:ascii="Times-Roman" w:hAnsi="Times-Roman" w:cs="Times-Roman"/>
                <w:szCs w:val="24"/>
              </w:rPr>
              <w:t>0.4000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P@10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0.1000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0.5000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0.5000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P@20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0.1000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0.4000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0.2500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P@100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0.0600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0.0900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0.1000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Recall@5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0.0323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0.0645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0.0968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0.0968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0.0645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Recall@10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0.0323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Recall@20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0.0645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0.2581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0.1935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0.2258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Recall@100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0.1935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0.2903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0.3226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0.2903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0.3226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MAP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0.0634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0.1833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0.1894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0.1404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0.1462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MRR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1.0000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1.0000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1.0000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0.5000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1.0000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NDCG@5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0.3392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0.5531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0.7227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0.4913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0.5531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NDCG@10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0.2201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0.5801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0.6208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0.4666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0.5704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NDCG@20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0.1793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0.4786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0.4341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0.4054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0.3681</w:t>
            </w:r>
          </w:p>
        </w:tc>
      </w:tr>
      <w:tr w:rsidR="00C63288" w:rsidTr="003A3D10">
        <w:trPr>
          <w:trHeight w:val="720"/>
        </w:trPr>
        <w:tc>
          <w:tcPr>
            <w:tcW w:w="1558" w:type="dxa"/>
          </w:tcPr>
          <w:p w:rsidR="00C63288" w:rsidRPr="00EF4C29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lastRenderedPageBreak/>
              <w:t>NDCG@100</w:t>
            </w:r>
          </w:p>
        </w:tc>
        <w:tc>
          <w:tcPr>
            <w:tcW w:w="1558" w:type="dxa"/>
          </w:tcPr>
          <w:p w:rsidR="00C63288" w:rsidRDefault="00ED359E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0.2112</w:t>
            </w:r>
          </w:p>
        </w:tc>
        <w:tc>
          <w:tcPr>
            <w:tcW w:w="1558" w:type="dxa"/>
          </w:tcPr>
          <w:p w:rsidR="00C63288" w:rsidRDefault="009E63F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0.3804</w:t>
            </w:r>
          </w:p>
        </w:tc>
        <w:tc>
          <w:tcPr>
            <w:tcW w:w="1558" w:type="dxa"/>
          </w:tcPr>
          <w:p w:rsidR="00C63288" w:rsidRDefault="00C63288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0.4036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0.3180</w:t>
            </w:r>
          </w:p>
        </w:tc>
        <w:tc>
          <w:tcPr>
            <w:tcW w:w="1559" w:type="dxa"/>
          </w:tcPr>
          <w:p w:rsidR="00C63288" w:rsidRDefault="002A2AB4" w:rsidP="003A3D1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0.3726</w:t>
            </w:r>
          </w:p>
        </w:tc>
      </w:tr>
    </w:tbl>
    <w:p w:rsidR="00C63288" w:rsidRDefault="00C63288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63288" w:rsidRPr="00ED359E" w:rsidRDefault="00C63288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  <w:u w:val="single"/>
        </w:rPr>
      </w:pPr>
      <w:r w:rsidRPr="00ED359E">
        <w:rPr>
          <w:rFonts w:ascii="Times-Roman" w:hAnsi="Times-Roman" w:cs="Times-Roman"/>
          <w:b/>
          <w:sz w:val="24"/>
          <w:szCs w:val="24"/>
          <w:u w:val="single"/>
        </w:rPr>
        <w:t>Long Query</w:t>
      </w:r>
    </w:p>
    <w:p w:rsidR="00334A97" w:rsidRDefault="00334A97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9"/>
        <w:gridCol w:w="1666"/>
        <w:gridCol w:w="1530"/>
        <w:gridCol w:w="1620"/>
        <w:gridCol w:w="1530"/>
        <w:gridCol w:w="1530"/>
      </w:tblGrid>
      <w:tr w:rsidR="008C07DB" w:rsidTr="00ED359E">
        <w:trPr>
          <w:trHeight w:val="720"/>
        </w:trPr>
        <w:tc>
          <w:tcPr>
            <w:tcW w:w="1479" w:type="dxa"/>
          </w:tcPr>
          <w:p w:rsidR="008C07DB" w:rsidRDefault="008C07DB" w:rsidP="005B73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Evaluation Metric</w:t>
            </w:r>
          </w:p>
        </w:tc>
        <w:tc>
          <w:tcPr>
            <w:tcW w:w="1666" w:type="dxa"/>
          </w:tcPr>
          <w:p w:rsidR="008C07DB" w:rsidRDefault="008C07DB" w:rsidP="005B73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Your algorithm</w:t>
            </w:r>
          </w:p>
        </w:tc>
        <w:tc>
          <w:tcPr>
            <w:tcW w:w="1530" w:type="dxa"/>
          </w:tcPr>
          <w:p w:rsidR="008C07DB" w:rsidRDefault="00334A97" w:rsidP="005B73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Vector Space Model</w:t>
            </w:r>
          </w:p>
        </w:tc>
        <w:tc>
          <w:tcPr>
            <w:tcW w:w="1620" w:type="dxa"/>
          </w:tcPr>
          <w:p w:rsidR="008C07DB" w:rsidRDefault="00334A97" w:rsidP="005B73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BM25</w:t>
            </w:r>
          </w:p>
        </w:tc>
        <w:tc>
          <w:tcPr>
            <w:tcW w:w="1530" w:type="dxa"/>
          </w:tcPr>
          <w:p w:rsidR="008C07DB" w:rsidRDefault="00334A97" w:rsidP="005B73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 model with Dirichlet Smoothing</w:t>
            </w:r>
          </w:p>
        </w:tc>
        <w:tc>
          <w:tcPr>
            <w:tcW w:w="1530" w:type="dxa"/>
          </w:tcPr>
          <w:p w:rsidR="008C07DB" w:rsidRDefault="00334A97" w:rsidP="005B73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 Model with Jelinek Mercer Smoothing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P@5</w:t>
            </w:r>
          </w:p>
        </w:tc>
        <w:tc>
          <w:tcPr>
            <w:tcW w:w="1666" w:type="dxa"/>
          </w:tcPr>
          <w:p w:rsidR="00111D40" w:rsidRDefault="00B34A9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0.2000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0.6000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0.2000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P@10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0.3000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0.3000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P@20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0.1500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0.2500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0.2500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0.2500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P@100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0.0400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0.0400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0.0900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Recall@5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0.0323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0.0968</w:t>
            </w:r>
          </w:p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0.0323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Recall@10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0.0968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0.0968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0.0645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0.0968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Recall@20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0.0968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0.1935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0.1613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Recall@100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0.1290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0.3226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0.3226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0.3226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0.2905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MAP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0.0211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0.1074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0.1333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0.0693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0.0853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MRR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0.0833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0.5000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1.0000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0.1250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0.2000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NDCG@5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0.2140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0.6399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0.1312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NDCG@10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0.0000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0.2785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0.4153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0.1357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0.2312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t>NDCG@20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0.1066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0.2545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0.3732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0.1924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0.2259</w:t>
            </w:r>
          </w:p>
        </w:tc>
      </w:tr>
      <w:tr w:rsidR="00111D40" w:rsidTr="00ED359E">
        <w:trPr>
          <w:trHeight w:val="720"/>
        </w:trPr>
        <w:tc>
          <w:tcPr>
            <w:tcW w:w="1479" w:type="dxa"/>
          </w:tcPr>
          <w:p w:rsidR="00111D40" w:rsidRPr="00EF4C29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EF4C29">
              <w:rPr>
                <w:rFonts w:ascii="Times-Roman" w:hAnsi="Times-Roman" w:cs="Times-Roman"/>
                <w:sz w:val="24"/>
                <w:szCs w:val="24"/>
              </w:rPr>
              <w:lastRenderedPageBreak/>
              <w:t>NDCG@100</w:t>
            </w:r>
          </w:p>
        </w:tc>
        <w:tc>
          <w:tcPr>
            <w:tcW w:w="1666" w:type="dxa"/>
          </w:tcPr>
          <w:p w:rsidR="00111D40" w:rsidRDefault="00DA5FFF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0.0982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0.2881</w:t>
            </w:r>
          </w:p>
        </w:tc>
        <w:tc>
          <w:tcPr>
            <w:tcW w:w="162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0.3519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0.2399</w:t>
            </w:r>
          </w:p>
        </w:tc>
        <w:tc>
          <w:tcPr>
            <w:tcW w:w="1530" w:type="dxa"/>
          </w:tcPr>
          <w:p w:rsidR="00111D40" w:rsidRDefault="00111D40" w:rsidP="00111D4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0.2478</w:t>
            </w:r>
          </w:p>
        </w:tc>
      </w:tr>
    </w:tbl>
    <w:p w:rsidR="005B739E" w:rsidRDefault="005B739E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B739E" w:rsidRDefault="005B739E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B739E" w:rsidRPr="00E10172" w:rsidRDefault="00E10172" w:rsidP="00E10172">
      <w:pPr>
        <w:pStyle w:val="Heading4"/>
        <w:rPr>
          <w:rFonts w:ascii="Times-Roman" w:hAnsi="Times-Roman" w:cs="Times-Roman"/>
          <w:b/>
          <w:sz w:val="24"/>
          <w:szCs w:val="24"/>
        </w:rPr>
      </w:pPr>
      <w:r w:rsidRPr="00E10172">
        <w:rPr>
          <w:rFonts w:ascii="Times-Roman" w:hAnsi="Times-Roman" w:cs="Times-Roman"/>
          <w:b/>
          <w:sz w:val="24"/>
          <w:szCs w:val="24"/>
        </w:rPr>
        <w:t>Summary:</w:t>
      </w:r>
    </w:p>
    <w:p w:rsidR="00E10172" w:rsidRDefault="00E10172" w:rsidP="005B73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B739E" w:rsidRDefault="00E10172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After evaluating the precision,</w:t>
      </w:r>
      <w:r w:rsidR="00E43D1B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Recall,</w:t>
      </w:r>
      <w:r w:rsidR="00E43D1B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MAP,</w:t>
      </w:r>
      <w:r w:rsidR="00E43D1B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MRR,</w:t>
      </w:r>
      <w:r w:rsidR="00E43D1B">
        <w:rPr>
          <w:rFonts w:ascii="Times-Roman" w:hAnsi="Times-Roman" w:cs="Times-Roman"/>
          <w:sz w:val="24"/>
          <w:szCs w:val="24"/>
        </w:rPr>
        <w:t xml:space="preserve"> NDCG I found that BM25 [TF*IDF model] performs betters in most of the scenarios both in long query and short query. It got the right balance of most of the things especially in precision and recall.</w:t>
      </w:r>
    </w:p>
    <w:p w:rsidR="00E43D1B" w:rsidRDefault="00E43D1B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3D1B" w:rsidRDefault="00E43D1B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Though the Language models (</w:t>
      </w:r>
      <w:r>
        <w:rPr>
          <w:rFonts w:ascii="Times-Roman" w:hAnsi="Times-Roman" w:cs="Times-Roman"/>
          <w:sz w:val="24"/>
          <w:szCs w:val="24"/>
        </w:rPr>
        <w:t>Dirichlet Smoothing</w:t>
      </w:r>
      <w:r>
        <w:rPr>
          <w:rFonts w:ascii="Times-Roman" w:hAnsi="Times-Roman" w:cs="Times-Roman"/>
          <w:sz w:val="24"/>
          <w:szCs w:val="24"/>
        </w:rPr>
        <w:t xml:space="preserve"> and </w:t>
      </w:r>
      <w:r>
        <w:rPr>
          <w:rFonts w:ascii="Times-Roman" w:hAnsi="Times-Roman" w:cs="Times-Roman"/>
          <w:sz w:val="24"/>
          <w:szCs w:val="24"/>
        </w:rPr>
        <w:t>Jelinek Mercer Smoothing</w:t>
      </w:r>
      <w:r>
        <w:rPr>
          <w:rFonts w:ascii="Times-Roman" w:hAnsi="Times-Roman" w:cs="Times-Roman"/>
          <w:sz w:val="24"/>
          <w:szCs w:val="24"/>
        </w:rPr>
        <w:t xml:space="preserve">) tend to perform better for short queries they fail to perform better under long queries (The lower precision and call rates). </w:t>
      </w:r>
      <w:r w:rsidR="00AC5439">
        <w:rPr>
          <w:rFonts w:ascii="Times-Roman" w:hAnsi="Times-Roman" w:cs="Times-Roman"/>
          <w:sz w:val="24"/>
          <w:szCs w:val="24"/>
        </w:rPr>
        <w:t>but for Longer Q</w:t>
      </w:r>
      <w:r>
        <w:rPr>
          <w:rFonts w:ascii="Times-Roman" w:hAnsi="Times-Roman" w:cs="Times-Roman"/>
          <w:sz w:val="24"/>
          <w:szCs w:val="24"/>
        </w:rPr>
        <w:t xml:space="preserve">ueries </w:t>
      </w:r>
      <w:r>
        <w:rPr>
          <w:rFonts w:ascii="Times-Roman" w:hAnsi="Times-Roman" w:cs="Times-Roman"/>
          <w:sz w:val="24"/>
          <w:szCs w:val="24"/>
        </w:rPr>
        <w:t>Jelinek Mercer Smoothing</w:t>
      </w:r>
      <w:r>
        <w:rPr>
          <w:rFonts w:ascii="Times-Roman" w:hAnsi="Times-Roman" w:cs="Times-Roman"/>
          <w:sz w:val="24"/>
          <w:szCs w:val="24"/>
        </w:rPr>
        <w:t xml:space="preserve"> language model is performing better than the </w:t>
      </w:r>
      <w:r w:rsidR="002B75D0">
        <w:rPr>
          <w:rFonts w:ascii="Times-Roman" w:hAnsi="Times-Roman" w:cs="Times-Roman"/>
          <w:sz w:val="24"/>
          <w:szCs w:val="24"/>
        </w:rPr>
        <w:t>Dirichlet Smoothing</w:t>
      </w:r>
      <w:r w:rsidR="002B75D0">
        <w:rPr>
          <w:rFonts w:ascii="Times-Roman" w:hAnsi="Times-Roman" w:cs="Times-Roman"/>
          <w:sz w:val="24"/>
          <w:szCs w:val="24"/>
        </w:rPr>
        <w:t>.</w:t>
      </w:r>
    </w:p>
    <w:p w:rsidR="00AC5439" w:rsidRDefault="00AC5439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C5439" w:rsidRDefault="00AC5439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TF*IDF models have the higher NDCG when compare Language models.</w:t>
      </w:r>
    </w:p>
    <w:p w:rsidR="00AC5439" w:rsidRDefault="00AC5439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C5439" w:rsidRDefault="00AC5439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MRR is very low in our algorithm and between TF*IDF </w:t>
      </w:r>
      <w:r w:rsidR="00851E3A">
        <w:rPr>
          <w:rFonts w:ascii="Times-Roman" w:hAnsi="Times-Roman" w:cs="Times-Roman"/>
          <w:sz w:val="24"/>
          <w:szCs w:val="24"/>
        </w:rPr>
        <w:t xml:space="preserve">and </w:t>
      </w:r>
      <w:r w:rsidR="0005692A">
        <w:rPr>
          <w:rFonts w:ascii="Times-Roman" w:hAnsi="Times-Roman" w:cs="Times-Roman"/>
          <w:sz w:val="24"/>
          <w:szCs w:val="24"/>
        </w:rPr>
        <w:t xml:space="preserve">Dirichlet </w:t>
      </w:r>
      <w:r w:rsidR="0005692A">
        <w:rPr>
          <w:rFonts w:ascii="Times-Roman" w:hAnsi="Times-Roman" w:cs="Times-Roman"/>
          <w:sz w:val="24"/>
          <w:szCs w:val="24"/>
        </w:rPr>
        <w:t xml:space="preserve">smoothing </w:t>
      </w:r>
      <w:r w:rsidR="00851E3A">
        <w:rPr>
          <w:rFonts w:ascii="Times-Roman" w:hAnsi="Times-Roman" w:cs="Times-Roman"/>
          <w:sz w:val="24"/>
          <w:szCs w:val="24"/>
        </w:rPr>
        <w:t xml:space="preserve">language model </w:t>
      </w:r>
      <w:r w:rsidR="0005692A">
        <w:rPr>
          <w:rFonts w:ascii="Times-Roman" w:hAnsi="Times-Roman" w:cs="Times-Roman"/>
          <w:sz w:val="24"/>
          <w:szCs w:val="24"/>
        </w:rPr>
        <w:t>has the lowest MRR in long query as well as short query.</w:t>
      </w:r>
      <w:bookmarkStart w:id="0" w:name="_GoBack"/>
      <w:bookmarkEnd w:id="0"/>
    </w:p>
    <w:p w:rsidR="00E43D1B" w:rsidRDefault="00E43D1B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3D1B" w:rsidRDefault="00E43D1B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3D1B" w:rsidRDefault="00E43D1B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3D1B" w:rsidRDefault="00E43D1B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10172" w:rsidRDefault="00E10172" w:rsidP="00E101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D43C3" w:rsidRDefault="005B739E" w:rsidP="005B739E">
      <w:r>
        <w:rPr>
          <w:rFonts w:ascii="Times-Roman" w:hAnsi="Times-Roman" w:cs="Times-Roman"/>
          <w:sz w:val="24"/>
          <w:szCs w:val="24"/>
        </w:rPr>
        <w:t>Submission: Please submit the java codes and results via Canvas.</w:t>
      </w:r>
    </w:p>
    <w:sectPr w:rsidR="005D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9E"/>
    <w:rsid w:val="0005692A"/>
    <w:rsid w:val="00111D40"/>
    <w:rsid w:val="002A2AB4"/>
    <w:rsid w:val="002B75D0"/>
    <w:rsid w:val="00334A97"/>
    <w:rsid w:val="005B739E"/>
    <w:rsid w:val="005D43C3"/>
    <w:rsid w:val="00851E3A"/>
    <w:rsid w:val="008C07DB"/>
    <w:rsid w:val="009E63F8"/>
    <w:rsid w:val="00AC5439"/>
    <w:rsid w:val="00B34A90"/>
    <w:rsid w:val="00C63288"/>
    <w:rsid w:val="00DA5FFF"/>
    <w:rsid w:val="00E10172"/>
    <w:rsid w:val="00E43D1B"/>
    <w:rsid w:val="00ED359E"/>
    <w:rsid w:val="00FC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8348"/>
  <w15:chartTrackingRefBased/>
  <w15:docId w15:val="{C646D93E-043A-46C2-81D2-3D8D14EA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01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B7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nekkalapudi</dc:creator>
  <cp:keywords/>
  <dc:description/>
  <cp:lastModifiedBy>arun nekkalapudi</cp:lastModifiedBy>
  <cp:revision>6</cp:revision>
  <dcterms:created xsi:type="dcterms:W3CDTF">2017-10-25T01:02:00Z</dcterms:created>
  <dcterms:modified xsi:type="dcterms:W3CDTF">2017-10-25T03:49:00Z</dcterms:modified>
</cp:coreProperties>
</file>