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 年第二季度总结</w:t>
      </w:r>
    </w:p>
    <w:p>
      <w:pPr>
        <w:pStyle w:val="Heading2"/>
      </w:pPr>
      <w:r>
        <w:t>一、业绩概览</w:t>
      </w:r>
    </w:p>
    <w:p>
      <w:r>
        <w:t>本季度营收达到 1.2 亿元，同比增长 18%。主要产品线的表现如下：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产品线</w:t>
            </w:r>
          </w:p>
        </w:tc>
        <w:tc>
          <w:tcPr>
            <w:tcW w:type="dxa" w:w="2880"/>
          </w:tcPr>
          <w:p>
            <w:r>
              <w:t>营收（万元）</w:t>
            </w:r>
          </w:p>
        </w:tc>
        <w:tc>
          <w:tcPr>
            <w:tcW w:type="dxa" w:w="2880"/>
          </w:tcPr>
          <w:p>
            <w:r>
              <w:t>同比增长</w:t>
            </w:r>
          </w:p>
        </w:tc>
      </w:tr>
      <w:tr>
        <w:tc>
          <w:tcPr>
            <w:tcW w:type="dxa" w:w="2880"/>
          </w:tcPr>
          <w:p>
            <w:r>
              <w:t>旗舰产品</w:t>
            </w:r>
          </w:p>
        </w:tc>
        <w:tc>
          <w:tcPr>
            <w:tcW w:type="dxa" w:w="2880"/>
          </w:tcPr>
          <w:p>
            <w:r>
              <w:t>6800</w:t>
            </w:r>
          </w:p>
        </w:tc>
        <w:tc>
          <w:tcPr>
            <w:tcW w:type="dxa" w:w="2880"/>
          </w:tcPr>
          <w:p>
            <w:r>
              <w:t>22%</w:t>
            </w:r>
          </w:p>
        </w:tc>
      </w:tr>
      <w:tr>
        <w:tc>
          <w:tcPr>
            <w:tcW w:type="dxa" w:w="2880"/>
          </w:tcPr>
          <w:p>
            <w:r>
              <w:t>标准产品</w:t>
            </w:r>
          </w:p>
        </w:tc>
        <w:tc>
          <w:tcPr>
            <w:tcW w:type="dxa" w:w="2880"/>
          </w:tcPr>
          <w:p>
            <w:r>
              <w:t>3900</w:t>
            </w:r>
          </w:p>
        </w:tc>
        <w:tc>
          <w:tcPr>
            <w:tcW w:type="dxa" w:w="2880"/>
          </w:tcPr>
          <w:p>
            <w:r>
              <w:t>11%</w:t>
            </w:r>
          </w:p>
        </w:tc>
      </w:tr>
      <w:tr>
        <w:tc>
          <w:tcPr>
            <w:tcW w:type="dxa" w:w="2880"/>
          </w:tcPr>
          <w:p>
            <w:r>
              <w:t>定制服务</w:t>
            </w:r>
          </w:p>
        </w:tc>
        <w:tc>
          <w:tcPr>
            <w:tcW w:type="dxa" w:w="2880"/>
          </w:tcPr>
          <w:p>
            <w:r>
              <w:t>1300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</w:tbl>
    <w:p>
      <w:pPr>
        <w:pStyle w:val="Heading2"/>
      </w:pPr>
      <w:r>
        <w:t>二、下季度计划</w:t>
      </w:r>
    </w:p>
    <w:p>
      <w:r>
        <w:t>重点推进海外市场的本地化部署，目标新增 3 个区域节点。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